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9 De Octubre De 2026</w:t>
      </w:r>
    </w:p>
    <w:p>
      <w:pPr>
        <w:jc w:val="center"/>
      </w:pPr>
      <w:r>
        <w:rPr>
          <w:rFonts w:ascii="Arial" w:hAnsi="Arial"/>
          <w:color w:val="999999"/>
          <w:sz w:val="20"/>
        </w:rPr>
        <w:t>6 secciones  ·  18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avanza sobre los 11 mil puntos por compras globales a medida que el petróleo corrige una parte de sus ganancias</w:t>
      </w:r>
    </w:p>
    <w:p>
      <w:pPr>
        <w:spacing w:before="40" w:after="60"/>
        <w:ind w:left="283"/>
      </w:pPr>
      <w:r>
        <w:rPr>
          <w:rFonts w:ascii="Arial" w:hAnsi="Arial"/>
          <w:color w:val="404040"/>
          <w:sz w:val="21"/>
        </w:rPr>
        <w:t>La bolsa chilena abrió la jornada del viernes con un alza de 0,3% en el MSCI IPSA, que se ubicó en 11.053,96 puntos, impulsado por Cenco Malls, Engie y Copec, en línea con un apetito comprador global tras el susto reciente por el ritmo de facturación de OpenAI. Wall Street operaba al alza (Nasdaq +0,6%, S&amp;P 500 +0,4%) y las plazas europeas avanzaban cerca de 1,1%, mientras el Hang Seng lideró en Asia con 1,8%. El crudo Brent retrocedía 1,1% a US$ 103,2 por barril, devolviendo parte del salto del jueves, luego de que Donald Trump afirmara que no atacará a Irán antes de las elecciones legislativas del 3 de noviembre y hablara de conversaciones productivas con Teherán. Esto alivió los costos energéticos y mejoró el ánimo de los inversionistas.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cae por debajo de $ 975 en la apertura de la sesión mientras los precios del cobre se recuperan con fuerza</w:t>
      </w:r>
    </w:p>
    <w:p>
      <w:pPr>
        <w:spacing w:before="40" w:after="60"/>
        <w:ind w:left="283"/>
      </w:pPr>
      <w:r>
        <w:rPr>
          <w:rFonts w:ascii="Arial" w:hAnsi="Arial"/>
          <w:color w:val="404040"/>
          <w:sz w:val="21"/>
        </w:rPr>
        <w:t>El dólar abrió a la baja en Chile, con una caída de $ 4,8 hasta $ 974,4, tras haber tocado cerca de $ 990 en las primeras operaciones del día. El cobre rebotó 1,3% a US$ 6,56 por libra en Londres, apoyado por menores inventarios en China, que repondría existencias en las próximas semanas, además de posibles aranceles estadounidenses y la huelga en Minera Centinela. En paralelo, el petróleo Brent bajaba cerca de 1,5% a US$ 102,7 por barril, corrigiendo parte de las alzas del jueves ligadas a reportes de un eventual retorno a la guerra con Irán. Las declaraciones de Trump sobre no atacar antes de las elecciones de mitad de mandato ayudaron a descomprimir los precios energéticos.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Nicolás Noguera y el momento del mercado inmobiliario: “Todavía hay más oportunidades en sectores diferentes al residencial en Chile”</w:t>
      </w:r>
    </w:p>
    <w:p>
      <w:pPr>
        <w:spacing w:before="40" w:after="60"/>
        <w:ind w:left="283"/>
      </w:pPr>
      <w:r>
        <w:rPr>
          <w:rFonts w:ascii="Arial" w:hAnsi="Arial"/>
          <w:color w:val="404040"/>
          <w:sz w:val="21"/>
        </w:rPr>
        <w:t>El socio y CEO de GSI Capital estima que los cap rates de activos maduros de buena calidad en Chile se sitúan entre 6% y 6,5%, con los segmentos industrial y comercial en la parte alta, cercanos a 8%, y oficinas y habitacional en la baja. A su juicio, el financiamiento sigue disponible a tasas inferiores a esos retornos, lo que sostiene el atractivo del mercado. La firma, especializada en estaciones de servicio, logística y terrenos para transición energética, compró este año el portafolio Baker de 90 bencineras arrendadas por Aramco, y prevé lanzar el próximo año un fondo para Latinoamérica enfocado en arriendo de terrenos para energía solar y eólica. Su criterio de inversión prioriza negocios escalables, activos estratégicos para el arrendatario y contratos indexados a inflación, sin cláusulas de salida y preferentemente triple neto.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Actores privados debaten impacto del Fonavi y advierten desafíos para reactivar el mercado hipotecario</w:t>
      </w:r>
    </w:p>
    <w:p>
      <w:pPr>
        <w:spacing w:before="40" w:after="60"/>
        <w:ind w:left="283"/>
      </w:pPr>
      <w:r>
        <w:rPr>
          <w:rFonts w:ascii="Arial" w:hAnsi="Arial"/>
          <w:color w:val="404040"/>
          <w:sz w:val="21"/>
        </w:rPr>
        <w:t>Representantes de la banca, consultoras y la construcción discutieron el Fondo Nacional para la Vivienda (Fonavi), pieza central de la reforma al mercado de capitales MK4 que avanza en el Congreso. Santander anticipa un efecto positivo: sus colocaciones hipotecarias cayeron desde unos 2.000 créditos mensuales a 600 y hoy rondan los 1.300 gracias a medidas de impulso previas, aunque advierte que el diseño del riesgo que mantengan los bancos será clave para lograr la originación esperada. Se planteó además que el requisito de 30 meses de ahorro para un pie de 10% podría postergar compras, por lo que se propone reconocer ahorros previos. Desde la construcción se advirtió que más demanda sin más oferta presionaría los precios al alza.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Cantidad de cotizantes sub-30 de AFP sigue a la baja: mujeres son las más afectadas</w:t>
      </w:r>
    </w:p>
    <w:p>
      <w:pPr>
        <w:spacing w:before="40" w:after="60"/>
        <w:ind w:left="283"/>
      </w:pPr>
      <w:r>
        <w:rPr>
          <w:rFonts w:ascii="Arial" w:hAnsi="Arial"/>
          <w:color w:val="404040"/>
          <w:sz w:val="21"/>
        </w:rPr>
        <w:t>En junio de 2026 había 1.270.690 cotizantes de AFP menores de 30 años, 2,3% menos que un año antes y por debajo de los 1.352.924 de marzo, el nivel más bajo desde la crisis pandémica. La baja fue más fuerte entre las mujeres, con 564.062 aportantes (-2,9%), que entre los hombres, con 706.628 (-1,9%). Respecto del máximo de marzo de 2022 (1.550.654), la caída acumulada alcanza 18,1%, y frente a 2019 es de 15,6%. El exsuperintendente Osvaldo Macías atribuye el fenómeno a menor inmigración laboral, mayor desempleo juvenil, envejecimiento poblacional y un ingreso más tardío al mercado del trabajo.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Inmobiliarias comienzan a mover sus fichas tras cambios a la OGUC: preparan nuevos proyectos y modificaciones a los ya existentes</w:t>
      </w:r>
    </w:p>
    <w:p>
      <w:pPr>
        <w:spacing w:before="40" w:after="60"/>
        <w:ind w:left="283"/>
      </w:pPr>
      <w:r>
        <w:rPr>
          <w:rFonts w:ascii="Arial" w:hAnsi="Arial"/>
          <w:color w:val="404040"/>
          <w:sz w:val="21"/>
        </w:rPr>
        <w:t>El decreto que modifica la OGUC reduce el parámetro de habitantes por vivienda para calcular densidad de cuatro a 2,8, incentiva construir cerca del transporte público y baja exigencias de estacionamientos, lo que permite más unidades en la misma superficie y viviendas más pequeñas y de menor precio total. Moller &amp; Pérez-Cotapos modificará cinco proyectos en el oriente, Deisa dos y evalúa comprar tres terrenos, Exxacon podría pasar de 120 a 180 unidades en un proyecto y Echeverría Izquierdo estima un alza de 17% en unidades; Ingevec ve impacto marginal en lo existente pero potencial en nuevos terrenos. El decreto da dos años para modificar proyectos con hasta 20% más de superficie, sin extender permisos, y se espera mayor actividad en Vitacura, Ñuñoa, San Miguel y cerca de Metro. Un académico advierte que el alto stock de viviendas y posibles restricciones municipales podrían retrasar los efectos.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Grupo Evans lanza el área de Derecho Público y Mercados Regulados y ficha a tres abogados</w:t>
      </w:r>
    </w:p>
    <w:p>
      <w:pPr>
        <w:spacing w:before="40" w:after="60"/>
        <w:ind w:left="283"/>
      </w:pPr>
      <w:r>
        <w:rPr>
          <w:rFonts w:ascii="Arial" w:hAnsi="Arial"/>
          <w:color w:val="404040"/>
          <w:sz w:val="21"/>
        </w:rPr>
        <w:t>Grupo Evans creó un área de Derecho Público y Mercados Regulados tras incorporar a los abogados Antonio Rubilar, quien la liderará, Gonzalo Bravo y Ramiro Araya, provenientes de Albagli Zaliasnik. La apuesta busca consolidar al estudio en industrias donde convergen regulación, medioambiente, infraestructura y grandes proyectos. Su socio fundador, Eugenio Evans, la vincula a una cartera de inversión cercana a US$ 88 mil millones hacia 2030, concentrada en minería, obras públicas, energía y telecomunicaciones.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Enviado de Trump apunta a Trudeau en cumbre en Malta por la caída del turismo canadiense en EEUU</w:t>
      </w:r>
    </w:p>
    <w:p>
      <w:pPr>
        <w:spacing w:before="40" w:after="60"/>
        <w:ind w:left="283"/>
      </w:pPr>
      <w:r>
        <w:rPr>
          <w:rFonts w:ascii="Arial" w:hAnsi="Arial"/>
          <w:color w:val="404040"/>
          <w:sz w:val="21"/>
        </w:rPr>
        <w:t>En la cumbre del WTTC en Malta, el enviado de Trump, Nick Adams, culpó al exprimer ministro Justin Trudeau por llamar a los canadienses a no viajar a EE.UU., y reconoció que la caída de visitantes se siente en destinos como Hawái y Las Vegas, perjudicando a pequeños empresarios. Trudeau replicó que fueron los propios canadienses quienes decidieron no viajar por controles fronterizos más duros, incertidumbre y falta de respeto hacia Canadá, con una baja de los viajes superior a 20% que persistió pese a rebajas de precios de hoteles, aerolíneas y operadores. Además defendió el sistema de cuidado infantil de su gobierno como política con beneficio económico, al elevar la participación laboral femenina y el ingreso de los hogares.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Presidenta del Banco Central participará en reuniones del FMI y Banco Mundial</w:t>
      </w:r>
    </w:p>
    <w:p>
      <w:pPr>
        <w:spacing w:before="40" w:after="60"/>
        <w:ind w:left="283"/>
      </w:pPr>
      <w:r>
        <w:rPr>
          <w:rFonts w:ascii="Arial" w:hAnsi="Arial"/>
          <w:color w:val="404040"/>
          <w:sz w:val="21"/>
        </w:rPr>
        <w:t>La presidenta del Banco Central de Chile, Rosanna Costa, asistirá a las reuniones anuales 2026 del FMI y el Banco Mundial, que se realizarán entre el 12 y el 18 de octubre en Bangkok. El encuentro reúne a autoridades económicas, gobernadores de bancos centrales y organismos internacionales para analizar la economía mundial, los riesgos para la estabilidad financiera y los desafíos del sistema monetario internacional. Cada tres años estas citas se realizan fuera de Washington.</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IPC sube menos de lo esperado en septiembre, pero el mercado todavía no descarta un cierre de año en 5%</w:t>
      </w:r>
    </w:p>
    <w:p>
      <w:pPr>
        <w:spacing w:before="40" w:after="60"/>
        <w:ind w:left="283"/>
      </w:pPr>
      <w:r>
        <w:rPr>
          <w:rFonts w:ascii="Arial" w:hAnsi="Arial"/>
          <w:color w:val="404040"/>
          <w:sz w:val="21"/>
        </w:rPr>
        <w:t>El IPC de septiembre subió 0,4% mensual, bajo el 0,5% esperado, y la inflación anual se mantuvo en 4,1%, con alzas en alimentos y transporte por combustibles; el IPC sin volátiles avanzó 0,3% mensual y moderó su variación anual de 3,3% a 3,2%. El ministro Quiroz calificó de desafiante la meta de 3,8% del Ejecutivo para fin de año, mientras los analistas proyectan cierres entre 4,6% y 4,8%, y BTG, Santander y Scotiabank no descartan 5% o más, por petróleo caro, depreciación del peso y efectos climáticos en alimentos. El dato refuerza la expectativa de que el Banco Central mantenga la TPM en 4,5% en su reunión del 26 y 27 de octubre, aunque con un tono más restrictivo, y que no haya movimientos hasta fin de año.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Jorge Rodríguez, expresidente del CFA y el presupuesto del próximo año: “El esfuerzo para 2027 es un buen paso, pero no completa la tarea”</w:t>
      </w:r>
    </w:p>
    <w:p>
      <w:pPr>
        <w:spacing w:before="40" w:after="60"/>
        <w:ind w:left="283"/>
      </w:pPr>
      <w:r>
        <w:rPr>
          <w:rFonts w:ascii="Arial" w:hAnsi="Arial"/>
          <w:color w:val="404040"/>
          <w:sz w:val="21"/>
        </w:rPr>
        <w:t>El investigador del CEP valora que el Presupuesto 2027, con gasto creciendo 1,5%, reconozca la estrechez fiscal y que se retome el cumplimiento de la meta de balance estructural tras tres años de incumplimiento, pero advierte que la situación seguirá ajustada por cuatro o cinco años. Señala que el ajuste de US$ 6.000 millones no es un recorte neto, pues se proyecta ejecutar 101,2% de la ley por presiones de gasto no presupuestadas, y que persiste un error de 7%-8% en la proyección de ingresos tributarios no mineros, hoy compensado por mayores ingresos mineros. Proyecciones de la Dipres muestran gasto creciendo 0,5% anual hasta 2031, el más bajo en 35 años, con déficit estructural sobre la meta desde 2028 y deuda bruta en torno a 44% del PIB, muy cerca del umbral prudente de 45%. Plantea además que el país deberá discutir tarde o temprano la carga tributaria necesaria para financiar pensiones y salud.</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La flexibilidad laboral mejora la conciliación familiar, pero su uso es acotado y el cuidado recae en las mujeres</w:t>
      </w:r>
    </w:p>
    <w:p>
      <w:pPr>
        <w:spacing w:before="40" w:after="60"/>
        <w:ind w:left="283"/>
      </w:pPr>
      <w:r>
        <w:rPr>
          <w:rFonts w:ascii="Arial" w:hAnsi="Arial"/>
          <w:color w:val="404040"/>
          <w:sz w:val="21"/>
        </w:rPr>
        <w:t>Una encuesta de Labofam aplicada entre marzo y agosto de 2026 a más de 2.000 trabajadores con hijos menores de 14 años muestra que las modalidades de trabajo flexible elevan la satisfacción con el equilibrio trabajo-familia, pero se usan poco: los permisos especiales alcanzan 29%, los horarios flexibles 16% y el teletrabajo solo 8%, pese a tener la mayor nota (6,7 sobre 10, frente a un promedio de 5,6). El cuidado de los hijos sigue recayendo en las madres (73% frente a 38% de los padres, y 79% versus 40% en caso de enfermedad). El director del centro atribuye el limitado uso a resistencias empresariales, desconocimiento de derechos y debilidad sindical, y advierte que estas políticas por sí solas no modifican la distribución del cuidado.</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 jueza sudafricana y pionera en derechos humanos Navi Pillay gana el Premio Nobel de la Paz de 2026</w:t>
      </w:r>
    </w:p>
    <w:p>
      <w:pPr>
        <w:spacing w:before="40" w:after="60"/>
        <w:ind w:left="283"/>
      </w:pPr>
      <w:r>
        <w:rPr>
          <w:rFonts w:ascii="Arial" w:hAnsi="Arial"/>
          <w:color w:val="404040"/>
          <w:sz w:val="21"/>
        </w:rPr>
        <w:t>El Comité Noruego del Nobel otorgó el Premio Nobel de la Paz 2026 a la jueza sudafricana Navi Pillay, de 85 años, por promover la paz y el derecho internacional, destacando su labor desde la defensa de opositores al apartheid hasta importantes procesos judiciales internacionales. Pillay presidió la comisión de la ONU que concluyó que Israel cometió genocidio en Gaza, informe que Israel rechazó. El galardón, dotado con 12 millones de coronas suecas (unos US$ 1,2 millones), se entregará en Oslo el 10 de diciembre.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Johanna Hill, directora general adjunta de la OMC: “Hay grandes oportunidades en la cadena de valor que están siendo impulsados por la inteligencia artificial”</w:t>
      </w:r>
    </w:p>
    <w:p>
      <w:pPr>
        <w:spacing w:before="40" w:after="60"/>
        <w:ind w:left="283"/>
      </w:pPr>
      <w:r>
        <w:rPr>
          <w:rFonts w:ascii="Arial" w:hAnsi="Arial"/>
          <w:color w:val="404040"/>
          <w:sz w:val="21"/>
        </w:rPr>
        <w:t>Hill explica que la OMC elevó su proyección de crecimiento del comercio de mercancías a 3,9% en 2026 y 4,1% en 2027 (desde 1,9% en marzo), impulsada por la inversión en IA, cuyo gasto es en cerca de 70% importaciones; los bienes ligados a IA explicaron alrededor de 48% del crecimiento del comercio en el primer semestre. Si bien más de 80% del comercio de esos productos se concentra en diez economías, ve oportunidades para la región en minerales críticos, servicios digitales y comercio Sur-Sur, y subraya la necesidad de cerrar brechas digitales y de regulación. Para América Latina, que pesa cerca de 2% del comercio mundial, se prevé que el volumen de mercancías crezca 3,4%, y destaca que la resiliencia actual no equivale a robustez, por lo que se requiere un sistema multilateral predecible.</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La mayoría de las PYME y startups de Chile y la región gobiernan su IA de forma frágil, según Endeavor</w:t>
      </w:r>
    </w:p>
    <w:p>
      <w:pPr>
        <w:spacing w:before="40" w:after="60"/>
        <w:ind w:left="283"/>
      </w:pPr>
      <w:r>
        <w:rPr>
          <w:rFonts w:ascii="Arial" w:hAnsi="Arial"/>
          <w:color w:val="404040"/>
          <w:sz w:val="21"/>
        </w:rPr>
        <w:t>Un estudio de Endeavor Research e IAméricas, sobre 418 organizaciones (300 chilenas) de seis países, halló que 73% de las PYME y startups tiene una gobernanza de IA frágil y que 48% está en el nivel más básico de madurez, el de explorador, en un contexto de creciente adopción de IA agéntica. Existe un compromiso declarado con el uso responsable (3,56 sobre 5), pero casi no hay políticas escritas con responsables claros (1,76 sobre 5). Según los autores, el problema es organizacional más que tecnológico: definir en qué etapa del negocio opera la IA, quién responde, cómo se mide y cómo se escala.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 reactivación ante el desafío de la IA</w:t>
      </w:r>
    </w:p>
    <w:p>
      <w:pPr>
        <w:spacing w:before="40" w:after="60"/>
        <w:ind w:left="283"/>
      </w:pPr>
      <w:r>
        <w:rPr>
          <w:rFonts w:ascii="Arial" w:hAnsi="Arial"/>
          <w:color w:val="404040"/>
          <w:sz w:val="21"/>
        </w:rPr>
        <w:t>La columna sostiene que, además de reactivar la economía, Chile debe preparar a sus trabajadores ante la automatización y la IA, que según el IPoM de septiembre ya contribuyen al deterioro del empleo. Cita evidencia del Banco Central de que el empleo chileno está más expuesto que el promedio OCDE y que, entre 2022 y 2025, los trabajadores en ocupaciones expuestas tuvieron 21% menos probabilidad de empleo formal (cerca de 27% en menores de 30). Advierte que se podrían reducir los puestos de entrada, pasando de organizaciones piramidales a de diamante, y que se espera que 39% de las habilidades cambie hacia 2030, por lo que las empresas deben integrar formación, mentorías y movilidad interna a sus inversiones tecnológicas.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¿Cuándo dejamos de ser amables?</w:t>
      </w:r>
    </w:p>
    <w:p>
      <w:pPr>
        <w:spacing w:before="40" w:after="60"/>
        <w:ind w:left="283"/>
      </w:pPr>
      <w:r>
        <w:rPr>
          <w:rFonts w:ascii="Arial" w:hAnsi="Arial"/>
          <w:color w:val="404040"/>
          <w:sz w:val="21"/>
        </w:rPr>
        <w:t>La columna reflexiona sobre las declaraciones de un diputado acerca de Michelle Bachelet y la respuesta de Evelyn Matthei, valorando que esta última defendiera el derecho de otra mujer a decidir sobre su futuro pese a sus diferencias políticas. Lamenta la violencia de las reacciones en redes sociales, con insultos y ataques personales, y sostiene que Chile necesita recuperar la amabilidad como condición del diálogo democrático y del liderazgo responsable, sin renunciar al debate firme.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Cuando no conviene trabajar</w:t>
      </w:r>
    </w:p>
    <w:p>
      <w:pPr>
        <w:spacing w:before="40" w:after="60"/>
        <w:ind w:left="283"/>
      </w:pPr>
      <w:r>
        <w:rPr>
          <w:rFonts w:ascii="Arial" w:hAnsi="Arial"/>
          <w:color w:val="404040"/>
          <w:sz w:val="21"/>
        </w:rPr>
        <w:t>La columna argumenta que, junto con incentivar la contratación mediante el nuevo plan laboral, hay que revisar los incentivos de los beneficios sociales. Cita el caso de España, donde la AIReF estimó que el Ingreso Mínimo Vital reduce 12% la probabilidad de trabajar y 11% los días trabajados, con efectos de 20% o más en jóvenes y hogares monoparentales, y donde el incentivo al empleo de 2023 no mostró eficacia. Advierte que en Chile los umbrales de elegibilidad del Registro Social de Hogares pueden hacer perder ayudas al subir el ingreso, por lo que propone un retiro gradual de beneficios para que el empleo formal siempre implique una mejora económica.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9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