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9 De Septiembre De 2026</w:t>
      </w:r>
    </w:p>
    <w:p>
      <w:pPr>
        <w:jc w:val="center"/>
      </w:pPr>
      <w:r>
        <w:rPr>
          <w:rFonts w:ascii="Arial" w:hAnsi="Arial"/>
          <w:color w:val="999999"/>
          <w:sz w:val="20"/>
        </w:rPr>
        <w:t>6 secciones  ·  23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IPSA pierde los 11.400 puntos mientras Wall Street abre en rojo a medida que el petróleo Brent supera los US$ 100 por barril</w:t>
      </w:r>
    </w:p>
    <w:p>
      <w:pPr>
        <w:spacing w:before="40" w:after="60"/>
        <w:ind w:left="283"/>
      </w:pPr>
      <w:r>
        <w:rPr>
          <w:rFonts w:ascii="Arial" w:hAnsi="Arial"/>
          <w:color w:val="404040"/>
          <w:sz w:val="21"/>
        </w:rPr>
        <w:t>La bolsa local retrocedió 0,3% hasta 11.384,68 puntos, arrastrada principalmente por Latam, que cayó 2,7% y registró el peor desempeño del índice pese a su alta ponderación. El deterioro respondió al salto del Brent, que trepó 2,7% y cruzó los US$ 100 por barril por primera vez desde el 24 de julio tras el escalamiento militar entre Estados Unidos e Irán. Wall Street también abrió a la baja, con el Dow Jones cediendo 0,5%, el Nasdaq 0,4% y el S&amp;P 500 0,3%, mientras el Euro Stoxx 50 se hundía 1,7% y las tasas soberanas subían en ambos continentes. En paralelo, el Banco Central mantuvo la tasa rectora sin cambios y en su IPoM recortó la proyección de crecimiento para 2026, dejando intacta la de 2027 y elevando la de 2028.</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Kast lanza la MK4 y fija la apuesta del gobierno: “Necesitamos un Chile de propietarios más que de arrendatarios”</w:t>
      </w:r>
    </w:p>
    <w:p>
      <w:pPr>
        <w:spacing w:before="40" w:after="60"/>
        <w:ind w:left="283"/>
      </w:pPr>
      <w:r>
        <w:rPr>
          <w:rFonts w:ascii="Arial" w:hAnsi="Arial"/>
          <w:color w:val="404040"/>
          <w:sz w:val="21"/>
        </w:rPr>
        <w:t>El Presidente José Antonio Kast presentó junto al ministro de Hacienda, Jorge Quiroz, la cuarta reforma al mercado de capitales, cuyo eje central es facilitar el acceso a la primera vivienda. La medida más relevante crea el Fondo Nacional de la Vivienda (Fonavi), administrado por BancoEstado, que comprará y financiará créditos hipotecarios de la banca y podría cubrir unas 150 mil viviendas con plazos a 30 años y tasas más bajas que las de mercado; adicionalmente, tras 30 meses de ahorro sostenido las familias aportarán siete de los diez puntos porcentuales del pie y el Estado los tres restantes. El proyecto también habilitará por primera vez una bolsa de valores destinada a empresas emergentes, startups y proyectos mineros sin acceso a financiamiento, tomando como referencia el modelo de Toronto. Un tercer objetivo es retomar la aspiración pendiente desde los años 90 de convertir a Chile en centro financiero regional, eliminando impuestos y trabas que desincentivan la llegada de capitales extranjeros.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El petróleo Brent alcanza los US$ 100 por barril mientras crecen las tensiones entre EEUU e Irán</w:t>
      </w:r>
    </w:p>
    <w:p>
      <w:pPr>
        <w:spacing w:before="40" w:after="60"/>
        <w:ind w:left="283"/>
      </w:pPr>
      <w:r>
        <w:rPr>
          <w:rFonts w:ascii="Arial" w:hAnsi="Arial"/>
          <w:color w:val="404040"/>
          <w:sz w:val="21"/>
        </w:rPr>
        <w:t>El futuro del Brent avanzó 3,1% hasta US$ 100,95 por barril, superando el umbral de los tres dígitos por primera vez desde el 24 de julio, mientras el WTI subía 1,8% hasta US$ 94,71. El detonante inmediato fue la destrucción por parte del ejército estadounidense de cinco petroleros iraníes, en represalia por dos intentos fallidos de la Guardia Revolucionaria de impactar un buque de guerra norteamericano con misiles balísticos. Con esto el crudo acumula un alza superior al 8% en lo que va de septiembre, en una fase del conflicto —iniciado a fines de febrero— marcada por los ataques más intensos contra buques petroleros. Analistas apuntan además a que la reactivación de las compras chinas, que antes contenían los precios, ha llevado varios indicadores clave del mercado a máximos de varias semanas.</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Dólar abre con leve alza mientras el petróleo Brent supera los US$ 100 por la guerra naval en el estrecho de Ormuz</w:t>
      </w:r>
    </w:p>
    <w:p>
      <w:pPr>
        <w:spacing w:before="40" w:after="60"/>
        <w:ind w:left="283"/>
      </w:pPr>
      <w:r>
        <w:rPr>
          <w:rFonts w:ascii="Arial" w:hAnsi="Arial"/>
          <w:color w:val="404040"/>
          <w:sz w:val="21"/>
        </w:rPr>
        <w:t>La divisa estadounidense subió $ 2,2 hasta los $ 927,4 en las primeras operaciones del mercado local, revirtiendo parcialmente la caída de $ 10 del día previo, explicada en parte por una fuerte sorpresa inflacionaria. El movimiento se dio en medio del cruce de los US$ 100 por barril del Brent, que a su vez elevó los rendimientos del Tesoro estadounidense, mientras el cobre en Londres cedía 0,3% desde sus máximos históricos. El conflicto naval entre Estados Unidos e Irán por el control del estrecho de Ormuz mantiene bloqueados los tránsitos, a lo que se suma la aceleración de las compras chinas de crudo como factor de demanda. A nivel global el índice dólar operaba levemente a la baja, presionado por la fortaleza del yen ante expectativas de intervención y declaraciones del secretario del Tesoro, Scott Bessent.</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Cierre de Orionx suma nueva querella criminal contra sus exsocios y tensiona a la industria cripto</w:t>
      </w:r>
    </w:p>
    <w:p>
      <w:pPr>
        <w:spacing w:before="40" w:after="60"/>
        <w:ind w:left="283"/>
      </w:pPr>
      <w:r>
        <w:rPr>
          <w:rFonts w:ascii="Arial" w:hAnsi="Arial"/>
          <w:color w:val="404040"/>
          <w:sz w:val="21"/>
        </w:rPr>
        <w:t>A una semana del cierre abrupto de la plataforma de criptoactivos Orionx, el usuario Pedro Molleda presentó una querella contra el exgerente general Roberto Zibert y el exgerente de tecnología Joaquín Díaz por no poder rescatar $ 6 millones invertidos en bitcoin entre febrero y mayo de 2026, pidiendo además evaluar la responsabilidad penal de la empresa como persona jurídica. La acción se suma a la querella de la propia compañía contra ambos ejecutivos por administración desleal y desvío de US$ 7 millones, luego de que una auditoría forense de Deloitte confirmara un descalce significativo entre saldos registrados y activos en custodia. Orionx operaba bajo el régimen transitorio de la Ley Fintech hasta junio, cuando la CMF rechazó su inscripción, y el regulador aclaró que nunca la fiscalizó y que la obligación de restituir fondos recae en la propia entidad. El episodio golpeó la confianza del sector: el CEO de Buda, Jaime Bunzli, lo atribuyó a fallas de gobierno corporativo y controles internos más que a la tecnología, mientras abogados señalan que los afectados pueden recurrir a juzgados de policía local o al Sernac.</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Más del 70% de los mayores de 55 años teme que la pensión no le alcance para vivir y un 22% tiene ahorro voluntario</w:t>
      </w:r>
    </w:p>
    <w:p>
      <w:pPr>
        <w:spacing w:before="40" w:after="60"/>
        <w:ind w:left="283"/>
      </w:pPr>
      <w:r>
        <w:rPr>
          <w:rFonts w:ascii="Arial" w:hAnsi="Arial"/>
          <w:color w:val="404040"/>
          <w:sz w:val="21"/>
        </w:rPr>
        <w:t>Una encuesta de bienestar aplicada por Cadem, la Universidad Adolfo Ibáñez y la Mutual de Seguros de Chile a casi mil personas mayores de 55 años reveló que solo el 16% de quienes aún no se jubilan se siente financieramente preparado para esa etapa. El principal temor, mencionado por el 72%, es que la pensión no alcance para cubrir necesidades o mantener la calidad de vida, seguido por los gastos elevados de salud (62%), el riesgo de empobrecerse o carecer de recursos para emergencias (52% cada uno) y la pérdida de autonomía financiera (47%). El uso de instrumentos de ahorro es acotado: solo 11% cuenta con APV, por debajo de los depósitos a plazo (19%) y por sobre fondos mutuos (9%) y Cuenta 2 (7%), totalizando un 22% con algún ahorro voluntario adicional a las cotizaciones obligatorias. Según Luis Cavieres, gerente de inversiones de Mutual de Seguros, la principal barrera es que los ingresos no alcanzan —así lo declaró el 69%—, por lo que fomentar el ahorro exige avanzar en empleabilidad y estabilidad de ingresos y no solo en educación financiera.</w:t>
      </w:r>
    </w:p>
    <w:p>
      <w:pPr>
        <w:pBdr>
          <w:bottom w:val="single" w:sz="4" w:space="1" w:color="BDD7EE"/>
        </w:pBdr>
        <w:spacing w:before="80" w:after="80"/>
      </w:pPr>
    </w:p>
    <w:p>
      <w:pPr>
        <w:pStyle w:val="Heading2"/>
        <w:spacing w:before="200" w:after="80"/>
      </w:pPr>
      <w:r>
        <w:rPr>
          <w:rFonts w:ascii="Arial" w:hAnsi="Arial"/>
          <w:b/>
          <w:color w:val="2E75B6"/>
          <w:sz w:val="22"/>
        </w:rPr>
        <w:t xml:space="preserve">7.  </w:t>
      </w:r>
      <w:r>
        <w:rPr>
          <w:rFonts w:ascii="Arial" w:hAnsi="Arial"/>
          <w:b/>
          <w:color w:val="1F4E79"/>
          <w:sz w:val="22"/>
        </w:rPr>
        <w:t>CEO de Santander Chile prevé competencia con neobancos focalizada en productos y segmentos específicos</w:t>
      </w:r>
    </w:p>
    <w:p>
      <w:pPr>
        <w:spacing w:before="40" w:after="60"/>
        <w:ind w:left="283"/>
      </w:pPr>
      <w:r>
        <w:rPr>
          <w:rFonts w:ascii="Arial" w:hAnsi="Arial"/>
          <w:color w:val="404040"/>
          <w:sz w:val="21"/>
        </w:rPr>
        <w:t>El gerente general y country head de Santander Chile, Andrés Trautmann, sostuvo en un seminario de la Facultad de Economía y Negocios de la Universidad de Chile que los nuevos bancos digitales que lleguen al país probablemente se enfocarán en productos o segmentos puntuales antes que disputar integralmente el negocio bancario tradicional. Aunque reconoció que en otros mercados los neobancos han ganado participación con rapidez, argumentó que Chile ya cuenta con un sistema financiero competitivo y digitalizado, por lo que ver un banco totalmente digital atacando todo el negocio será más difícil. El debate incluyó la implementación del Sistema de Finanzas Abiertas: la presidenta de Transbank, Claudia Herrera, planteó que nivelará la cancha en beneficio del consumidor y permitirá construir modelos de evaluación distintos para emprendedores y pequeños comercios. Trautmann valoró la mayor competencia pero exigió reglas equivalentes para todos los actores, mientras la gerente general de BancoEstado, Andrea Silva, destacó su rol como impulsora de innovación.</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Boberck, decano del retail de Los Lagos, da el salto al negocio inmobiliario con una cartera de inversiones de US$ 3 millones</w:t>
      </w:r>
    </w:p>
    <w:p>
      <w:pPr>
        <w:spacing w:before="40" w:after="60"/>
        <w:ind w:left="283"/>
      </w:pPr>
      <w:r>
        <w:rPr>
          <w:rFonts w:ascii="Arial" w:hAnsi="Arial"/>
          <w:color w:val="404040"/>
          <w:sz w:val="21"/>
        </w:rPr>
        <w:t>La cadena de tiendas por departamentos Boberck, fundada por el matrimonio de Federico Bórquez y Juana Becker en Chiloé y pionera del formato en el sur de Chile desde 1980, destinará cerca de US$ 3 millones a una cartera de proyectos residenciales y comerciales con aperturas previstas para 2028. El plan incluye la parcelación Chiloé Lands en Quinched —beneficiada por la plusvalía del nuevo bypass Castro-Chonchi—, un edificio residencial con placa comercial en calle Seminario de Puerto Montt y la reconversión de su emblemático edificio de siete pisos en calle Antonio Varas hacia oficinas o vivienda, iniciativa para la cual negocian el ingreso de un socio de capital. Tras el ajuste post-pandemia que la llevó a cerrar su centro de distribución en Seattle y los locales arrendados en Santiago, la firma se concentró en tres inmuebles propios y migró a salas de venta de 150 a 200 metros cuadrados con rotación mensual de inventario. La meta es pasar de tres a diez tiendas en cinco años y consolidar el canal digital, que hoy aporta entre 7% y 9% de las ventas, con un crecimiento consolidado proyectado de 4% a 5% para el ejercicio en curso.</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Spotify abre la billetera a los podcasters chilenos: su programa de pagos llega a fin de año al país</w:t>
      </w:r>
    </w:p>
    <w:p>
      <w:pPr>
        <w:spacing w:before="40" w:after="60"/>
        <w:ind w:left="283"/>
      </w:pPr>
      <w:r>
        <w:rPr>
          <w:rFonts w:ascii="Arial" w:hAnsi="Arial"/>
          <w:color w:val="404040"/>
          <w:sz w:val="21"/>
        </w:rPr>
        <w:t>Spotify anunció que su Partner Program, el esquema de monetización para creadores de contenido de audio y video, debutará en Chile a fines de este año, la primera vez que se abre al mercado local. El programa contempla pagos calculados según la interacción de los suscriptores Premium con los videos, la posibilidad de monetizar mediante anuncios en Spotify Free y otras plataformas donde el podcast esté disponible, y permite a los creadores retener el 100% de los ingresos por patrocinios que gestionen directamente. El lanzamiento ocurre en un contexto de fuerte expansión del formato: el consumo de podcasts en Chile creció cerca de 50% en cinco años, los podcasts en video representan aproximadamente la mitad del consumo total y la producción local de este formato se multiplicó por diez en igual período. Para los usuarios pagados, los avisos dinámicos se eliminarán del contenido adherido al programa, aunque los patrocinios integrados por los propios creadores se mantendrán.</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EEUU aumenta compras de cobre a Congo y Chile pierde terreno en este mercado</w:t>
      </w:r>
    </w:p>
    <w:p>
      <w:pPr>
        <w:spacing w:before="40" w:after="60"/>
        <w:ind w:left="283"/>
      </w:pPr>
      <w:r>
        <w:rPr>
          <w:rFonts w:ascii="Arial" w:hAnsi="Arial"/>
          <w:color w:val="404040"/>
          <w:sz w:val="21"/>
        </w:rPr>
        <w:t>Las importaciones estadounidenses de cobre desde la República Democrática del Congo alcanzaron un récord en julio, en un contexto donde las compras totales de cobre refinado de EEUU pasaron de 919.000 toneladas en 2024 a 1,6 millones en 2025 y ya suman 1,13 millones entre enero y julio de 2026, impulsadas por la anticipación ante eventuales aranceles al metal. Chile sigue siendo el principal proveedor pero su participación cayó desde cerca del 70% en 2024 a 48% en lo que va de 2026, aun cuando sus volúmenes crecieron de 645.000 toneladas en 2024 a 883.000 en 2025 y 538.000 en los primeros siete meses de este año. La expansión congoleña se apoya en una producción que se triplicó de 1,04 millones a 3,2 millones de toneladas entre 2015 y 2025 —mientras Chile redujo 8,18% su extracción en la década— y en leyes minerales muy superiores, con Kamoa-Kakula procesando mineral a 2,39% frente al promedio chileno de 0,62%. Pese a ello, los analistas de Núcleo Minero y XTB coinciden en que desplazar a Chile del liderazgo mundial es improbable en el corto plazo, dada una brecha de dos millones de toneladas.</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Ripley refuerza su apuesta por Perú: evalúa nuevos centros comerciales y pone fichas en el banco y el e-commerce</w:t>
      </w:r>
    </w:p>
    <w:p>
      <w:pPr>
        <w:spacing w:before="40" w:after="60"/>
        <w:ind w:left="283"/>
      </w:pPr>
      <w:r>
        <w:rPr>
          <w:rFonts w:ascii="Arial" w:hAnsi="Arial"/>
          <w:color w:val="404040"/>
          <w:sz w:val="21"/>
        </w:rPr>
        <w:t>Perú se consolidó como el principal motor de Ripley: en 2025 aportó cerca de dos tercios del Ebitda del retailer y en el segundo trimestre de 2026 su Ebitda creció 10,5% hasta $ 32.579 millones, más del doble de los $ 13.349 millones generados en Chile. Los ingresos peruanos subieron 13,6% en retail, 9,7% en el banco y 11,1% en el negocio inmobiliario de Mall Aventura, filial con cinco centros comerciales en Arequipa, Chiclayo, Iquitos, Santa Anita y San Juan de Lurigancho, que exhibe una ocupación en torno al 98% y un plan para sumar 40.000 m2 arrendables al 2029. El CFO Werner Geissbühler señaló que evalúan crecimiento orgánico e inorgánico en malls, incluida la compra de terrenos o centros comerciales, y que el negocio bancario tiene amplio espacio en Perú por su menor bancarización, pese a que hoy las colocaciones crecen 18,5% en Chile frente a 8,7% en el país vecino. La compañía, que acumula 30 tiendas, 5.900 trabajadores y US$ 700 millones invertidos en tres décadas, apuesta por formatos más pequeños y comercio online, favorecida además por la llegada de Keiko Fujimori a la presidencia, una inflación entre 2% y 3% y un desempleo bajo 5%.</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Enjoy anota pérdidas por $36 mil millones y acusa impacto de las apuestas online</w:t>
      </w:r>
    </w:p>
    <w:p>
      <w:pPr>
        <w:spacing w:before="40" w:after="60"/>
        <w:ind w:left="283"/>
      </w:pPr>
      <w:r>
        <w:rPr>
          <w:rFonts w:ascii="Arial" w:hAnsi="Arial"/>
          <w:color w:val="404040"/>
          <w:sz w:val="21"/>
        </w:rPr>
        <w:t>La operadora de casinos registró en el primer semestre de 2026 una pérdida atribuible a los controladores de $ 36.105 millones, en fuerte contraste con la ganancia de $ 39.567 millones del mismo período de 2025. Los ingresos ordinarios cayeron 16,4% hasta $ 22.614 millones, arrastrados sobre todo por el negocio de juegos, que retrocedió desde $ 23.433 millones a $ 19.260 millones, mientras alimentos, bebidas, hotelería y espectáculos bajaron de $ 1.505 millones a $ 1.392 millones. La contención de gastos permitió reducir los costos de venta 19,2% hasta $ 17.137 millones y los gastos de administración 20,1% hasta $ 4.933 millones, con lo que el EBITDA logró subir 2,8% a $ 4.702 millones. La compañía atribuyó el deterioro al crecimiento de casas de apuestas y plataformas online que operan sin marco regulatorio específico en Chile, además de salas de tragamonedas no reguladas, todo en medio de la ausencia de un superintendente titular en la SCJ y del juicio por presunta colusión que enfrenta la industria.</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El salto del cobre: el IPoM asume un precio de la libra del metal de US$ 5,6 para el mediano plazo</w:t>
      </w:r>
    </w:p>
    <w:p>
      <w:pPr>
        <w:spacing w:before="40" w:after="60"/>
        <w:ind w:left="283"/>
      </w:pPr>
      <w:r>
        <w:rPr>
          <w:rFonts w:ascii="Arial" w:hAnsi="Arial"/>
          <w:color w:val="404040"/>
          <w:sz w:val="21"/>
        </w:rPr>
        <w:t>El Informe de Política Monetaria de septiembre elevó su supuesto de precio del cobre de mediano plazo desde US$ 5,0 a US$ 5,6 por libra, en un contexto en que la cotización en la Bolsa de Metales de Londres se ubica cerca de US$ 6,5. El Banco Central proyecta que el mercado global estará en torno al equilibrio entre 2026 y 2028 gracias a la recuperación de disrupciones operacionales y la entrada en régimen de proyectos ya construidos, pero advierte que ese balance sería transitorio y daría paso a un déficit estructural de oferta desde 2029 por el envejecimiento de yacimientos, la caída de leyes y la escasez de proyectos greenfield. Entre los factores cíclicos destaca la acumulación extraordinaria de inventarios en Estados Unidos ante la incertidumbre arancelaria: un estudio citado estima más de 1,2 millones de toneladas almacenadas por sobre los requerimientos habituales entre febrero de 2025 y julio de 2026. Algo más de la mitad del alza responde a factores persistentes, como la demanda ligada a inversiones en inteligencia artificial y un componente geopolítico, mientras los riesgos apuntan a la baja por una eventual desaceleración de la inversión en IA y al alza si el sobre stock estadounidense responde a intereses estratégicos y no arancelarios.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El Banco Central vuelve a alertar por el impacto del alza de los costos laborales en medio del alto desempleo</w:t>
      </w:r>
    </w:p>
    <w:p>
      <w:pPr>
        <w:spacing w:before="40" w:after="60"/>
        <w:ind w:left="283"/>
      </w:pPr>
      <w:r>
        <w:rPr>
          <w:rFonts w:ascii="Arial" w:hAnsi="Arial"/>
          <w:color w:val="404040"/>
          <w:sz w:val="21"/>
        </w:rPr>
        <w:t>Un recuadro del IPoM de septiembre profundizó el diagnóstico que el emisor instaló hace un año: el mercado laboral chileno no se ha recuperado de la pandemia y arrastra debilidad al menos desde 2019. Frente a mediados de ese año, la tasa de ocupación es 2,1 puntos porcentuales menor, la participación laboral 0,9 puntos menor y el desempleo 2 puntos mayor, habiendo escalado 0,8 puntos durante 2026 hasta 9,3% desestacionalizado (9,5% en la serie original), con un desempeño entre los más débiles de un amplio grupo de economías. El Banco Central atribuye buena parte del fenómeno a factores persistentes, en particular el fuerte crecimiento del salario real por hora derivado de cambios regulatorios, mayor indexación y ajustes en la participación laboral, junto con un alza estimada de la Nairu de entre 1 y 2 puntos desde la pandemia. Un segundo eje del análisis es la aceleración de la automatización: los trabajadores que en 2022 ocupaban puestos de alta exposición tuvieron menor probabilidad de seguir empleados formalmente tres años después, efecto especialmente marcado en los menores de 30 años y corroborado por encuestas a empresas que reportan menor dinamismo en la contratación.</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El Banco Central reduce a 0,25%-0,75% la proyección de PIB para el año en medio de caída de inversión y pone las fichas en aceleración hacia 2028</w:t>
      </w:r>
    </w:p>
    <w:p>
      <w:pPr>
        <w:spacing w:before="40" w:after="60"/>
        <w:ind w:left="283"/>
      </w:pPr>
      <w:r>
        <w:rPr>
          <w:rFonts w:ascii="Arial" w:hAnsi="Arial"/>
          <w:color w:val="404040"/>
          <w:sz w:val="21"/>
        </w:rPr>
        <w:t>El emisor recortó el rango de crecimiento esperado para 2026 desde 1,0%-1,75% a 0,25%-0,75%, atribuyendo el ajuste a la mayor debilidad del gasto interno, el flojo desempeño de julio, la menor producción minera y el impacto de condiciones climáticas adversas en el tercer trimestre. El consumo crecería apenas 1,7% y la formación bruta de capital fijo caería 0,3%, cuando en el informe anterior se preveían alzas de 2,2% para ambos, en un cuadro de deterioro de la confianza de empresas y hogares, desempleo en 9,5% y postergación de grandes proyectos. Hacia adelante el Banco Central espera que la Ley de Reconstrucción impulse la inversión, con un PIB creciendo entre 2% y 3% en 2027 y acelerando a 2,25%-3,25% en 2028, rango superior al 1,75%-2,75% previsto en junio. En inflación, proyecta un cierre de 2026 en 4,3% —levemente sobre el 4,2% de junio— con convergencia a 3% en el segundo trimestre de 2027, asumiendo un petróleo promedio Brent-WTI de US$ 79 para 2026-2028 y un cobre de US$ 6,1 la libra este año.</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La banca adelanta definiciones por la CPC y Félix de Vicente toma fuerza como su carta para competir</w:t>
      </w:r>
    </w:p>
    <w:p>
      <w:pPr>
        <w:spacing w:before="40" w:after="60"/>
        <w:ind w:left="283"/>
      </w:pPr>
      <w:r>
        <w:rPr>
          <w:rFonts w:ascii="Arial" w:hAnsi="Arial"/>
          <w:color w:val="404040"/>
          <w:sz w:val="21"/>
        </w:rPr>
        <w:t>El directorio de la Asociación de Bancos e Instituciones Financieras se reúne este miércoles para definir si el sector levanta un candidato propio a la presidencia de la Confederación de la Producción y del Comercio, cargo que Susana Jiménez deja en la elección de diciembre. El nombre que gana fuerza es el de Félix de Vicente, exministro de Economía del primer gobierno de Piñera, quien estaría disponible con la condición de contar con respaldo transversal de la banca, sector que históricamente solo ha aportado un presidente a la multigremial: Hernán Somerville entre 2004 y 2006. La industria ve condiciones favorables dado que la reforma al mercado de capitales presentada esta semana toca directamente al sector financiero y que el cambio de administración abre un espacio distinto de relación con La Moneda. De Vicente competiría con Richard von Appen, expresidente de Sofofa, y con Antonio Walker, actual presidente de la SNA, mientras en paralelo la CPC evalúa reformar sus estatutos para permitir la reelección presidencial —extendiendo el mandato hasta cuatro años— y ampliar el universo de candidatos, cambios que en todo caso no regirán para la elección de diciembre.</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Investigador de Anthropic renuncia por el temor a una IA "fuera de control" y advierte: "Ninguna otra actividad humana representa un nivel de peligro semejante"</w:t>
      </w:r>
    </w:p>
    <w:p>
      <w:pPr>
        <w:spacing w:before="40" w:after="60"/>
        <w:ind w:left="283"/>
      </w:pPr>
      <w:r>
        <w:rPr>
          <w:rFonts w:ascii="Arial" w:hAnsi="Arial"/>
          <w:color w:val="404040"/>
          <w:sz w:val="21"/>
        </w:rPr>
        <w:t>Jacob Coxon, investigador británico de 27 años que trabajó en pre-entrenamiento tanto en OpenAI como en Anthropic, renunció públicamente advirtiendo que la carrera hacia una superinteligencia capaz de mejorarse a sí misma podría destruir a la humanidad antes del fin de la década. En una serie de publicaciones en X sostuvo que ninguna de las dos compañías actúa de forma responsable y que los sistemas futuros serán capaces de hackear cualquier cosa y adquirir poder y recursos reales, planteando que evitar una carrera global podría requerir medidas costosas como una prohibición temporal del aumento de capacidades. Su colega Evan Hubinger, líder del área de investigación de alineación de Anthropic, respaldó la advertencia y estimó en más de 10% la probabilidad de una extinción masiva en la próxima década, aunque calificó como bajo el riesgo de los modelos actuales. La salida ocurre mientras Anthropic prepara una oferta pública inicial que podría valorarla en US$ 1 billón y tras el lanzamiento de Claude Mythos 5.1, en un episodio que refuerza los llamados de figuras como Steven Adler a pausar la investigación por falta de medidas de seguridad adecuadas.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Potencias marítimas alertan de un cambio estructural en el comercio mundial que elevará los costos</w:t>
      </w:r>
    </w:p>
    <w:p>
      <w:pPr>
        <w:spacing w:before="40" w:after="60"/>
        <w:ind w:left="283"/>
      </w:pPr>
      <w:r>
        <w:rPr>
          <w:rFonts w:ascii="Arial" w:hAnsi="Arial"/>
          <w:color w:val="404040"/>
          <w:sz w:val="21"/>
        </w:rPr>
        <w:t>El Consultative Shipping Group, foro informal creado en los años 60 que reúne a 18 países —entre ellos Alemania, Francia, Reino Unido, Japón, Corea del Sur y Singapur— con cerca del 20% del tonelaje de la flota mercante mundial, emitió su primera declaración pública en más de seis décadas para advertir que las disrupciones al tráfico marítimo no son episódicas sino señales de un cambio estructural. El grupo apunta al cierre del estrecho de Ormuz, la guerra en Ucrania y la sequía del canal de Panamá como evidencia de la fragilidad de unas cadenas por donde circula el 80% del comercio global, y alerta que las rutas se están convirtiendo en instrumentos de presión geopolítica cuyas interrupciones se propagan a la energía, los seguros, los fletes y los precios finales. Un segundo foco de preocupación es la fragmentación regulatoria y la expansión de una flota en la sombra de cientos de embarcaciones que eluden sanciones, seguros y estándares ambientales, creando un sistema de dos niveles: uno regido por normas y otro por la opacidad. El CSG propone aplicar de manera uniforme la Convención de las Naciones Unidas sobre el Derecho del Mar y los estándares de la Organización Marítima Internacional, advirtiendo que la fragmentación de las normas se traduce directamente en mayores costos para empresas y consumidores.</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Abastible invierte en tecnológica Ideal Control para codesarrollar soluciones para acuicultura</w:t>
      </w:r>
    </w:p>
    <w:p>
      <w:pPr>
        <w:spacing w:before="40" w:after="60"/>
        <w:ind w:left="283"/>
      </w:pPr>
      <w:r>
        <w:rPr>
          <w:rFonts w:ascii="Arial" w:hAnsi="Arial"/>
          <w:color w:val="404040"/>
          <w:sz w:val="21"/>
        </w:rPr>
        <w:t>Abastibletec, el brazo de inversión en startups de eficiencia energética de Abastible, aportó $ 780 millones a Ideal Control, firma de tecnología para la industria acuícola fundada hace unos 15 años por Marco Méndez en Puerto Montt. El gerente de Abastibletec, Ignacio Mackenna, explicó que la operación busca transformar a la compañía de mero proveedor de gas licuado para salmoneras en un socio de optimización operacional, con un plan de inversión de US$ 10 millones en aplicaciones de inteligencia energética en los próximos cinco años. Ideal Control integra instrumentación, sistemas de control, inteligencia artificial y plataformas en la nube para automatizar la inyección de oxígeno cruzando datos de clima, mareas y biomasa, opera con 50 personas y proyecta una facturación de $ 2.500 millones a fin de año. Ambas trabajarán en monitoreo y gestión de variables críticas como oxígeno disuelto, temperatura, salinidad, CO2 y caudales, y evaluarán replicar el modelo en el mercado de camarones de Ecuador; se trata de la tercera inversión de Abastibletec, que además busca alianzas con startups de España e Inglaterra.</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Crisis de desempleo juvenil</w:t>
      </w:r>
    </w:p>
    <w:p>
      <w:pPr>
        <w:spacing w:before="40" w:after="60"/>
        <w:ind w:left="283"/>
      </w:pPr>
      <w:r>
        <w:rPr>
          <w:rFonts w:ascii="Arial" w:hAnsi="Arial"/>
          <w:color w:val="404040"/>
          <w:sz w:val="21"/>
        </w:rPr>
        <w:t>La columna advierte que, con una desocupación general de 9,5% en el trimestre mayo-julio —su nivel más alto en cinco años—, el problema más grave es el desempleo juvenil de 23,5% entre los 15 y 24 años, dos veces y media la media nacional, un fenómeno estructural que no se resolverá solo con crecimiento económico. Cita al exministro Harald Beyer, quien plantea la paradoja de que pese al aumento de la matrícula en educación superior las oportunidades laborales para egresados no han crecido al mismo ritmo, estrechándose la ventaja que históricamente tenían frente a quienes solo completaron enseñanza media. El diagnóstico se agrava con la evaluación PIAAC de la OCDE, donde 44% de los adultos chilenos se ubica en los dos niveles más bajos de comprensión lectora, razonamiento matemático y resolución de problemas, y con la nueva caída de los resultados de la prueba PISA 2025. El texto concluye que la expansión del acceso vía CAE y gratuidad no vino acompañada de más competencias, y que mantener carreras rígidas y más largas que el estándar OCDE mientras la inteligencia artificial transforma los puestos de entrada erosionará la productividad y competitividad del país.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Consumidor plateado</w:t>
      </w:r>
    </w:p>
    <w:p>
      <w:pPr>
        <w:spacing w:before="40" w:after="60"/>
        <w:ind w:left="283"/>
      </w:pPr>
      <w:r>
        <w:rPr>
          <w:rFonts w:ascii="Arial" w:hAnsi="Arial"/>
          <w:color w:val="404040"/>
          <w:sz w:val="21"/>
        </w:rPr>
        <w:t>La columna sostiene que Chile envejece a una velocidad sin precedentes en el mundo desarrollado: mientras a Francia le tomó más de 150 años duplicar su población de adultos mayores, el país lo hará en menos de 30 años. Hoy casi un tercio de los chilenos supera los 50 años, pero la mayoría de los productos, servicios y modelos de negocio siguen diseñados pensando en consumidores mucho más jóvenes. El autor plantea que el fenómeno suele tratarse solo como un asunto previsional o demográfico, dejando fuera su dimensión económica y la oportunidad de desarrollar soluciones financieras, de salud, vivienda, tecnología y empleo adaptadas a una población que vivirá más años y seguirá participando activamente de la economía. La conclusión es que el envejecimiento es inevitable pero aún puede convertirse en un motor de crecimiento.</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Sala cuna después de la ley</w:t>
      </w:r>
    </w:p>
    <w:p>
      <w:pPr>
        <w:spacing w:before="40" w:after="60"/>
        <w:ind w:left="283"/>
      </w:pPr>
      <w:r>
        <w:rPr>
          <w:rFonts w:ascii="Arial" w:hAnsi="Arial"/>
          <w:color w:val="404040"/>
          <w:sz w:val="21"/>
        </w:rPr>
        <w:t>La columna plantea que el debate sobre la Sala Cuna Universal se ha concentrado en si avanzar o detener su tramitación y en cómo financiarla, dejando de lado la pregunta sobre qué ocurre si se amplía el derecho sin que existan las condiciones para ejercerlo. El autor argumenta que la implementación importa tanto como la norma y que ello exige una red suficiente de establecimientos debidamente autorizados, con cupos disponibles y cobertura territorial capaz de responder a familias con realidades laborales muy distintas. Advierte que el beneficio pierde sentido si una madre o un padre no encuentra una sala cuna cercana, si no hay cupos en su comuna o si la oferta no se ajusta a sus jornadas de trabajo. Concluye que el verdadero desafío comienza el día después de la votación: lograr que la universalidad exista no solo en la ley sino también en el acceso efectivo.</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Paso Los Libertadores otra vez</w:t>
      </w:r>
    </w:p>
    <w:p>
      <w:pPr>
        <w:spacing w:before="40" w:after="60"/>
        <w:ind w:left="283"/>
      </w:pPr>
      <w:r>
        <w:rPr>
          <w:rFonts w:ascii="Arial" w:hAnsi="Arial"/>
          <w:color w:val="404040"/>
          <w:sz w:val="21"/>
        </w:rPr>
        <w:t>La columna denuncia que la apertura y cierre constante del Paso Los Libertadores por condiciones meteorológicas —agudizado este invierno— refleja la falta de previsibilidad de uno de los principales corredores entre Chile y Argentina. El autor describe el costo operacional que implica reprogramar cargas, equipos y conductores, asumir mayores tiempos de tránsito y absorber sobrecostos que recorren toda la cadena hasta llegar al consumidor final, situación especialmente sensible en vísperas de Fiestas Patrias cuando aumenta la demanda. Propone ir más allá de las soluciones habituales, evaluando alternativas estructurales como un túnel de baja altura y potenciando otros pasos fronterizos, incluidos aquellos aún no habilitados para transporte de carga. Concluye que ambos países necesitan una estrategia binacional que entregue mayor resiliencia a su conectividad, porque cada día de incertidumbre logística tiene un costo que alguien termina pagando.</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9 de septiembre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