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color w:val="003366"/>
          <w:sz w:val="28"/>
          <w:szCs w:val="28"/>
          <w:rtl w:val="0"/>
        </w:rPr>
        <w:t xml:space="preserve">Ficha Técnica de Aplicación/Sistema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 12 de agosto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color w:val="003366"/>
          <w:sz w:val="28"/>
          <w:szCs w:val="28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presente ficha técnica describe los aspectos técnicos relevantes del sistema de e-commerce especializado en bordados personalizados para Bordados TESTheb, que se encuentra en etapa de definición y planificación.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color w:val="003366"/>
          <w:sz w:val="28"/>
          <w:szCs w:val="28"/>
          <w:rtl w:val="0"/>
        </w:rPr>
        <w:t xml:space="preserve">Objetivo de la Solicitud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Generar un documento técnico que contenga la información necesaria para comprender las características técnicas del sistema a desarrollar. Este documento será base para la toma de decisiones en diseño, arquitectura y desarrollo.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1. Información General del Sistema</w:t>
      </w: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Layout w:type="fixed"/>
        <w:tblLook w:val="0400"/>
      </w:tblPr>
      <w:tblGrid>
        <w:gridCol w:w="2057"/>
        <w:gridCol w:w="6781"/>
        <w:tblGridChange w:id="0">
          <w:tblGrid>
            <w:gridCol w:w="2057"/>
            <w:gridCol w:w="6781"/>
          </w:tblGrid>
        </w:tblGridChange>
      </w:tblGrid>
      <w:tr>
        <w:trPr>
          <w:cantSplit w:val="0"/>
          <w:tblHeader w:val="1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TESTheb E-commerce Platform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Transformar el negocio de bordados personalizados mediante una plataforma web que automatice cotizaciones, procese pagos seguros y gestione catálogo de productos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Francisco Campos (Project Manager/DBA), Sebastian Mella (Líder Técnico/Developer)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Usuarios destinatarios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Externos:</w:t>
            </w:r>
            <w:r w:rsidDel="00000000" w:rsidR="00000000" w:rsidRPr="00000000">
              <w:rPr>
                <w:rtl w:val="0"/>
              </w:rPr>
              <w:t xml:space="preserve"> Clientes (colegios, empresas, particulares) </w:t>
            </w:r>
            <w:r w:rsidDel="00000000" w:rsidR="00000000" w:rsidRPr="00000000">
              <w:rPr>
                <w:b w:val="1"/>
                <w:rtl w:val="0"/>
              </w:rPr>
              <w:t xml:space="preserve">Internos:</w:t>
            </w:r>
            <w:r w:rsidDel="00000000" w:rsidR="00000000" w:rsidRPr="00000000">
              <w:rPr>
                <w:rtl w:val="0"/>
              </w:rPr>
              <w:t xml:space="preserve"> Administradores del negocio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2. Descripción Funcional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Principales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Sistema de registro y autenticación con roles (admin/cliente)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Catálogo dinámico  categorías especializadas de bordados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Sistema de cotizaciones automatizado con notificaciones email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Carrito de compras persistente y proceso de checkout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Procesamiento de pagos con Transbank WebPay Plus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Panel administrativo para gestión de productos, pedidos y usuarios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Generación automática de vouchers digitales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Redirección a redes sociales de la empresa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Usuario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Registro/Login → Navegación Catálogo → Selección Productos → Carrito →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Checkout → Pago Transbank → Confirmación → Voucher Digital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con Procesos de Negocio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Reemplaza:</w:t>
      </w:r>
      <w:r w:rsidDel="00000000" w:rsidR="00000000" w:rsidRPr="00000000">
        <w:rPr>
          <w:rtl w:val="0"/>
        </w:rPr>
        <w:t xml:space="preserve"> Proceso manual de cotizaciones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Automatiza:</w:t>
      </w:r>
      <w:r w:rsidDel="00000000" w:rsidR="00000000" w:rsidRPr="00000000">
        <w:rPr>
          <w:rtl w:val="0"/>
        </w:rPr>
        <w:t xml:space="preserve"> Gestión de pedidos y facturación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Integra:</w:t>
      </w:r>
      <w:r w:rsidDel="00000000" w:rsidR="00000000" w:rsidRPr="00000000">
        <w:rPr>
          <w:rtl w:val="0"/>
        </w:rPr>
        <w:t xml:space="preserve"> Sistema de pagos chileno (Transbank)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3. Arquitectura 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Arquitectura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Cliente-Servidor con separación Frontend/Backend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Arquitectónico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[Frontend React] ↔ [API REST Node.js] ↔ [PostgreSQL]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↓                    ↓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[Session Storage]    [Transbank WebPay]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Patrones de Diseño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MVC:</w:t>
      </w:r>
      <w:r w:rsidDel="00000000" w:rsidR="00000000" w:rsidRPr="00000000">
        <w:rPr>
          <w:rtl w:val="0"/>
        </w:rPr>
        <w:t xml:space="preserve"> Separación de responsabilidades en backend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 Pattern:</w:t>
      </w:r>
      <w:r w:rsidDel="00000000" w:rsidR="00000000" w:rsidRPr="00000000">
        <w:rPr>
          <w:rtl w:val="0"/>
        </w:rPr>
        <w:t xml:space="preserve"> Gestión de estado global en React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Repository Pattern:</w:t>
      </w:r>
      <w:r w:rsidDel="00000000" w:rsidR="00000000" w:rsidRPr="00000000">
        <w:rPr>
          <w:rtl w:val="0"/>
        </w:rPr>
        <w:t xml:space="preserve"> Abstracción de acceso a datos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Middleware Pattern:</w:t>
      </w:r>
      <w:r w:rsidDel="00000000" w:rsidR="00000000" w:rsidRPr="00000000">
        <w:rPr>
          <w:rtl w:val="0"/>
        </w:rPr>
        <w:t xml:space="preserve"> Autenticación y autorización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 Definidas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Transbank:</w:t>
      </w:r>
      <w:r w:rsidDel="00000000" w:rsidR="00000000" w:rsidRPr="00000000">
        <w:rPr>
          <w:rtl w:val="0"/>
        </w:rPr>
        <w:t xml:space="preserve"> Integración WebPay Plus para pagos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Email:</w:t>
      </w:r>
      <w:r w:rsidDel="00000000" w:rsidR="00000000" w:rsidRPr="00000000">
        <w:rPr>
          <w:rtl w:val="0"/>
        </w:rPr>
        <w:t xml:space="preserve"> Nodemailer para notificaciones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4. Lenguajes de Programación, Frameworks y Librerías</w:t>
      </w:r>
      <w:r w:rsidDel="00000000" w:rsidR="00000000" w:rsidRPr="00000000">
        <w:rPr>
          <w:rtl w:val="0"/>
        </w:rPr>
      </w:r>
    </w:p>
    <w:tbl>
      <w:tblPr>
        <w:tblStyle w:val="Table2"/>
        <w:tblW w:w="4737.0" w:type="dxa"/>
        <w:jc w:val="left"/>
        <w:tblLayout w:type="fixed"/>
        <w:tblLook w:val="0400"/>
      </w:tblPr>
      <w:tblGrid>
        <w:gridCol w:w="1626"/>
        <w:gridCol w:w="2129"/>
        <w:gridCol w:w="982"/>
        <w:tblGridChange w:id="0">
          <w:tblGrid>
            <w:gridCol w:w="1626"/>
            <w:gridCol w:w="2129"/>
            <w:gridCol w:w="982"/>
          </w:tblGrid>
        </w:tblGridChange>
      </w:tblGrid>
      <w:tr>
        <w:trPr>
          <w:cantSplit w:val="0"/>
          <w:tblHeader w:val="1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React + 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19.0+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Node.js + Express.js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18.18.0+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14.9+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5.0+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CSS3 Vanilla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3.0+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Dependencias Clave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bcrypt, jsonwebtoken, cors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pg (PostgreSQL client)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Pagos:</w:t>
      </w:r>
      <w:r w:rsidDel="00000000" w:rsidR="00000000" w:rsidRPr="00000000">
        <w:rPr>
          <w:rtl w:val="0"/>
        </w:rPr>
        <w:t xml:space="preserve"> transbank-sdk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nodemailer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Formularios:</w:t>
      </w:r>
      <w:r w:rsidDel="00000000" w:rsidR="00000000" w:rsidRPr="00000000">
        <w:rPr>
          <w:rtl w:val="0"/>
        </w:rPr>
        <w:t xml:space="preserve"> React Hook Form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Técnica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React 19 + JavaScript:</w:t>
      </w:r>
      <w:r w:rsidDel="00000000" w:rsidR="00000000" w:rsidRPr="00000000">
        <w:rPr>
          <w:rtl w:val="0"/>
        </w:rPr>
        <w:t xml:space="preserve"> Rendimiento optimizado para interfaces dinámicas, ecosistema maduro para e-commerce, desarrollo ágil sin overhead de tipos.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Node.js 18+ + Express.js:</w:t>
      </w:r>
      <w:r w:rsidDel="00000000" w:rsidR="00000000" w:rsidRPr="00000000">
        <w:rPr>
          <w:rtl w:val="0"/>
        </w:rPr>
        <w:t xml:space="preserve"> Soporte LTS hasta 2025, arquitectura event-driven ideal para cotizaciones concurrentes, middleware robusto para APIs comerciales.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PostgreSQL 14.9+:</w:t>
      </w:r>
      <w:r w:rsidDel="00000000" w:rsidR="00000000" w:rsidRPr="00000000">
        <w:rPr>
          <w:rtl w:val="0"/>
        </w:rPr>
        <w:t xml:space="preserve"> Transacciones ACID críticas para pagos Transbank, soporte JSON nativo para catálogo flexible de productos con atributos variables.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Vite 5.0+:</w:t>
      </w:r>
      <w:r w:rsidDel="00000000" w:rsidR="00000000" w:rsidRPr="00000000">
        <w:rPr>
          <w:rtl w:val="0"/>
        </w:rPr>
        <w:t xml:space="preserve"> Build ultrarrápido (HMR &lt;100ms), tree-shaking automático, code-splitting que optimiza conversión en e-commerce.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CSS3 Vanilla:</w:t>
      </w:r>
      <w:r w:rsidDel="00000000" w:rsidR="00000000" w:rsidRPr="00000000">
        <w:rPr>
          <w:rtl w:val="0"/>
        </w:rPr>
        <w:t xml:space="preserve"> Control granular para identidad visual única, sin dependencias externas, mejor performance y estabilidad a largo plazo.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Stack optimizado para estabilidad empresarial, performance y crecimiento escalable del negocio.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5. Requerimientos Funcionales y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Funcionales</w:t>
      </w:r>
    </w:p>
    <w:tbl>
      <w:tblPr>
        <w:tblStyle w:val="Table3"/>
        <w:tblW w:w="8080.0" w:type="dxa"/>
        <w:jc w:val="left"/>
        <w:tblLayout w:type="fixed"/>
        <w:tblLook w:val="0400"/>
      </w:tblPr>
      <w:tblGrid>
        <w:gridCol w:w="731"/>
        <w:gridCol w:w="829"/>
        <w:gridCol w:w="5096"/>
        <w:gridCol w:w="1424"/>
        <w:tblGridChange w:id="0">
          <w:tblGrid>
            <w:gridCol w:w="731"/>
            <w:gridCol w:w="829"/>
            <w:gridCol w:w="5096"/>
            <w:gridCol w:w="1424"/>
          </w:tblGrid>
        </w:tblGridChange>
      </w:tblGrid>
      <w:tr>
        <w:trPr>
          <w:cantSplit w:val="0"/>
          <w:tblHeader w:val="1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003366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Sistema de registro sin validación al email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JWT con roles diferenciados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CRUD completo de productos con gestión de imágenes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Carrito persistente con sincronización 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completa Transbank WebPay Plus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Generación automática de vouchers digitales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Panel administrativo con gestión a categoría y a productos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Redireccionar a redes sociales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44.0" w:type="dxa"/>
        <w:jc w:val="left"/>
        <w:tblLayout w:type="fixed"/>
        <w:tblLook w:val="0400"/>
      </w:tblPr>
      <w:tblGrid>
        <w:gridCol w:w="1669"/>
        <w:gridCol w:w="6175"/>
        <w:tblGridChange w:id="0">
          <w:tblGrid>
            <w:gridCol w:w="1669"/>
            <w:gridCol w:w="6175"/>
          </w:tblGrid>
        </w:tblGridChange>
      </w:tblGrid>
      <w:tr>
        <w:trPr>
          <w:cantSplit w:val="0"/>
          <w:tblHeader w:val="1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Funcionales: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Tiempo de respuesta ≤ 2 segundos para operaciones CRUD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Soporte mínimo 100 usuarios concurrentes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≥ 99% uptime durante horario operativo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Cumplimiento 100% Ley 19.628 (protección datos Chile)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Sistema responsive funcionando en dispositivos móviles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6. Integraciones con Otros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Externos</w:t>
      </w:r>
    </w:p>
    <w:tbl>
      <w:tblPr>
        <w:tblStyle w:val="Table5"/>
        <w:tblW w:w="8838.0" w:type="dxa"/>
        <w:jc w:val="left"/>
        <w:tblLayout w:type="fixed"/>
        <w:tblLook w:val="0400"/>
      </w:tblPr>
      <w:tblGrid>
        <w:gridCol w:w="2128"/>
        <w:gridCol w:w="1242"/>
        <w:gridCol w:w="2327"/>
        <w:gridCol w:w="3141"/>
        <w:tblGridChange w:id="0">
          <w:tblGrid>
            <w:gridCol w:w="2128"/>
            <w:gridCol w:w="1242"/>
            <w:gridCol w:w="2327"/>
            <w:gridCol w:w="3141"/>
          </w:tblGrid>
        </w:tblGridChange>
      </w:tblGrid>
      <w:tr>
        <w:trPr>
          <w:cantSplit w:val="0"/>
          <w:tblHeader w:val="1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Protocolo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Manejo de Fallos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Transbank WebPay Plus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HTTPS REST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Procesamiento de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Reintento automático + fallback manual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Servicio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SMTP TLS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y vouchers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Cola de reintentos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Integración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 para comunicación externa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 para autenticación entre servicios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HTTPS/TLS</w:t>
      </w:r>
      <w:r w:rsidDel="00000000" w:rsidR="00000000" w:rsidRPr="00000000">
        <w:rPr>
          <w:rtl w:val="0"/>
        </w:rPr>
        <w:t xml:space="preserve"> para comunicaciones seguras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 de Fallos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Circuit breaker para APIs externas (timeout 30s)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Retry logic con backoff exponencial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Logging estructurado para trazabilidad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7. Aspectos de Seguridad y Cumplimiento Normativo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y Autorización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JWT (JSON Web Tokens)</w:t>
      </w:r>
      <w:r w:rsidDel="00000000" w:rsidR="00000000" w:rsidRPr="00000000">
        <w:rPr>
          <w:rtl w:val="0"/>
        </w:rPr>
        <w:t xml:space="preserve"> con algoritmo HS256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 para admin/cliente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para hashing de contraseñas (cost factor: 12)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Encriptación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HTTPS/TLS 1.3</w:t>
      </w:r>
      <w:r w:rsidDel="00000000" w:rsidR="00000000" w:rsidRPr="00000000">
        <w:rPr>
          <w:rtl w:val="0"/>
        </w:rPr>
        <w:t xml:space="preserve"> para todas las comunicaciones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AES-256</w:t>
      </w:r>
      <w:r w:rsidDel="00000000" w:rsidR="00000000" w:rsidRPr="00000000">
        <w:rPr>
          <w:rtl w:val="0"/>
        </w:rPr>
        <w:t xml:space="preserve"> para datos sensibles en tránsito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Hash seguro</w:t>
      </w:r>
      <w:r w:rsidDel="00000000" w:rsidR="00000000" w:rsidRPr="00000000">
        <w:rPr>
          <w:rtl w:val="0"/>
        </w:rPr>
        <w:t xml:space="preserve"> para almacenamiento de contraseñas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Logs y Auditorías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de transacciones</w:t>
      </w:r>
      <w:r w:rsidDel="00000000" w:rsidR="00000000" w:rsidRPr="00000000">
        <w:rPr>
          <w:rtl w:val="0"/>
        </w:rPr>
        <w:t xml:space="preserve"> financieras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Cumplimiento Normativo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Ley 19.628 (Chile) - Protección de Datos Personales: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Consentimiento explícito en registro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Derechos de acceso, rectificación y cancelación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Almacenamiento seguro de información personal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8. Infraestructura de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de Ejecución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Cloud (Servicios gratuitos/económicos)</w:t>
      </w:r>
      <w:r w:rsidDel="00000000" w:rsidR="00000000" w:rsidRPr="00000000">
        <w:rPr>
          <w:rtl w:val="0"/>
        </w:rPr>
      </w:r>
    </w:p>
    <w:tbl>
      <w:tblPr>
        <w:tblStyle w:val="Table6"/>
        <w:tblW w:w="6670.0" w:type="dxa"/>
        <w:jc w:val="left"/>
        <w:tblLayout w:type="fixed"/>
        <w:tblLook w:val="0400"/>
      </w:tblPr>
      <w:tblGrid>
        <w:gridCol w:w="1325"/>
        <w:gridCol w:w="1607"/>
        <w:gridCol w:w="1607"/>
        <w:gridCol w:w="2131"/>
        <w:tblGridChange w:id="0">
          <w:tblGrid>
            <w:gridCol w:w="1325"/>
            <w:gridCol w:w="1607"/>
            <w:gridCol w:w="1607"/>
            <w:gridCol w:w="2131"/>
          </w:tblGrid>
        </w:tblGridChange>
      </w:tblGrid>
      <w:tr>
        <w:trPr>
          <w:cantSplit w:val="0"/>
          <w:tblHeader w:val="1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Entorno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localhost:5173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localhost:3000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PostgreSQL local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Vercel Preview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Railway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ElephantSQL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Vercel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Railway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Railway PostgreSQL</w:t>
            </w:r>
          </w:p>
        </w:tc>
      </w:tr>
    </w:tbl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Despliegue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para frontend (Vercel)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Contenedores</w:t>
      </w:r>
      <w:r w:rsidDel="00000000" w:rsidR="00000000" w:rsidRPr="00000000">
        <w:rPr>
          <w:rtl w:val="0"/>
        </w:rPr>
        <w:t xml:space="preserve"> para backend (Railway)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 gestionada</w:t>
      </w:r>
      <w:r w:rsidDel="00000000" w:rsidR="00000000" w:rsidRPr="00000000">
        <w:rPr>
          <w:rtl w:val="0"/>
        </w:rPr>
        <w:t xml:space="preserve"> (Railway PostgreSQL)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Estrategias de Despliegue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Rolling updates</w:t>
      </w:r>
      <w:r w:rsidDel="00000000" w:rsidR="00000000" w:rsidRPr="00000000">
        <w:rPr>
          <w:rtl w:val="0"/>
        </w:rPr>
        <w:t xml:space="preserve"> para cambios menores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Blue/green</w:t>
      </w:r>
      <w:r w:rsidDel="00000000" w:rsidR="00000000" w:rsidRPr="00000000">
        <w:rPr>
          <w:rtl w:val="0"/>
        </w:rPr>
        <w:t xml:space="preserve"> para releases mayores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Rollback automático</w:t>
      </w:r>
      <w:r w:rsidDel="00000000" w:rsidR="00000000" w:rsidRPr="00000000">
        <w:rPr>
          <w:rtl w:val="0"/>
        </w:rPr>
        <w:t xml:space="preserve"> en caso de errores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9. Lineamientos de Escalabilidad y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</w:t>
      </w:r>
    </w:p>
    <w:tbl>
      <w:tblPr>
        <w:tblStyle w:val="Table7"/>
        <w:tblW w:w="6712.0" w:type="dxa"/>
        <w:jc w:val="left"/>
        <w:tblLayout w:type="fixed"/>
        <w:tblLook w:val="0400"/>
      </w:tblPr>
      <w:tblGrid>
        <w:gridCol w:w="1626"/>
        <w:gridCol w:w="2136"/>
        <w:gridCol w:w="2950"/>
        <w:tblGridChange w:id="0">
          <w:tblGrid>
            <w:gridCol w:w="1626"/>
            <w:gridCol w:w="2136"/>
            <w:gridCol w:w="2950"/>
          </w:tblGrid>
        </w:tblGridChange>
      </w:tblGrid>
      <w:tr>
        <w:trPr>
          <w:cantSplit w:val="0"/>
          <w:tblHeader w:val="1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Crecimiento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Upgrade de plan Railway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Plan gratuito → plan básico pagado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Almacenamiento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Expansión automática cloud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Railway gestiona automáticamente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por defecto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PostgreSQL con límites del plan gratuito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y Recuperación</w:t>
      </w:r>
    </w:p>
    <w:tbl>
      <w:tblPr>
        <w:tblStyle w:val="Table8"/>
        <w:tblW w:w="6663.0" w:type="dxa"/>
        <w:jc w:val="left"/>
        <w:tblLayout w:type="fixed"/>
        <w:tblLook w:val="0400"/>
      </w:tblPr>
      <w:tblGrid>
        <w:gridCol w:w="1615"/>
        <w:gridCol w:w="1646"/>
        <w:gridCol w:w="3402"/>
        <w:tblGridChange w:id="0">
          <w:tblGrid>
            <w:gridCol w:w="1615"/>
            <w:gridCol w:w="1646"/>
            <w:gridCol w:w="3402"/>
          </w:tblGrid>
        </w:tblGridChange>
      </w:tblGrid>
      <w:tr>
        <w:trPr>
          <w:cantSplit w:val="0"/>
          <w:tblHeader w:val="1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Cada commit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GitHub automático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Limitado (plan gratuito)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Backup básico de Railway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en README</w:t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Mantenimiento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Correctivo: </w:t>
      </w:r>
      <w:r w:rsidDel="00000000" w:rsidR="00000000" w:rsidRPr="00000000">
        <w:rPr>
          <w:rtl w:val="0"/>
        </w:rPr>
        <w:t xml:space="preserve">Fixes de bugs según se detecten durante desarrollo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Evolutivo: </w:t>
      </w:r>
      <w:r w:rsidDel="00000000" w:rsidR="00000000" w:rsidRPr="00000000">
        <w:rPr>
          <w:rtl w:val="0"/>
        </w:rPr>
        <w:t xml:space="preserve">Sprints de 1 semana para desarrollo incremental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Preventivo:</w:t>
      </w:r>
      <w:r w:rsidDel="00000000" w:rsidR="00000000" w:rsidRPr="00000000">
        <w:rPr>
          <w:rtl w:val="0"/>
        </w:rPr>
        <w:t xml:space="preserve"> Updates básicos de dependencias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</w:t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Manual de usuario:</w:t>
      </w:r>
      <w:r w:rsidDel="00000000" w:rsidR="00000000" w:rsidRPr="00000000">
        <w:rPr>
          <w:rtl w:val="0"/>
        </w:rPr>
        <w:t xml:space="preserve"> Documento Word/PDF con capturas de pantalla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Documentación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: Instrucciones de instalación y configuración local</w:t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Comentarios en código:</w:t>
      </w:r>
      <w:r w:rsidDel="00000000" w:rsidR="00000000" w:rsidRPr="00000000">
        <w:rPr>
          <w:rtl w:val="0"/>
        </w:rPr>
        <w:t xml:space="preserve"> Explicaciones de funciones principales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</w:rPr>
      </w:pPr>
      <w:r w:rsidDel="00000000" w:rsidR="00000000" w:rsidRPr="00000000">
        <w:rPr>
          <w:b w:val="1"/>
          <w:color w:val="003366"/>
          <w:sz w:val="28"/>
          <w:szCs w:val="28"/>
          <w:rtl w:val="0"/>
        </w:rPr>
        <w:t xml:space="preserve">Plazos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La ficha técnica es entregada en </w:t>
      </w:r>
      <w:r w:rsidDel="00000000" w:rsidR="00000000" w:rsidRPr="00000000">
        <w:rPr>
          <w:b w:val="1"/>
          <w:rtl w:val="0"/>
        </w:rPr>
        <w:t xml:space="preserve">5 días hábiles</w:t>
      </w:r>
      <w:r w:rsidDel="00000000" w:rsidR="00000000" w:rsidRPr="00000000">
        <w:rPr>
          <w:rtl w:val="0"/>
        </w:rPr>
        <w:t xml:space="preserve"> desde la recepción de la solicitud (Semana 2 del proyecto).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Francisco Campos</w:t>
      </w:r>
      <w:r w:rsidDel="00000000" w:rsidR="00000000" w:rsidRPr="00000000">
        <w:rPr>
          <w:rtl w:val="0"/>
        </w:rPr>
        <w:br w:type="textWrapping"/>
        <w:t xml:space="preserve">Project Manager - Bordados TESTheb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Firma del responsable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A0EA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A0EA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A0EA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1Car" w:customStyle="1">
    <w:name w:val="Título 1 Car"/>
    <w:basedOn w:val="Fuentedeprrafopredeter"/>
    <w:uiPriority w:val="9"/>
    <w:rsid w:val="00CA0EA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uiPriority w:val="9"/>
    <w:semiHidden w:val="1"/>
    <w:rsid w:val="00CA0EA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uiPriority w:val="9"/>
    <w:semiHidden w:val="1"/>
    <w:rsid w:val="00CA0EA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uiPriority w:val="9"/>
    <w:semiHidden w:val="1"/>
    <w:rsid w:val="00CA0EA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uiPriority w:val="9"/>
    <w:semiHidden w:val="1"/>
    <w:rsid w:val="00CA0EA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uiPriority w:val="9"/>
    <w:semiHidden w:val="1"/>
    <w:rsid w:val="00CA0EA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A0EA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A0EA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A0EA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uiPriority w:val="10"/>
    <w:rsid w:val="00CA0EA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uiPriority w:val="11"/>
    <w:rsid w:val="00CA0EA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A0EA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A0EA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A0EA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A0EA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A0EA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A0EA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A0EA4"/>
    <w:rPr>
      <w:b w:val="1"/>
      <w:bCs w:val="1"/>
      <w:smallCaps w:val="1"/>
      <w:color w:val="0f4761" w:themeColor="accent1" w:themeShade="0000BF"/>
      <w:spacing w:val="5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lOGRUG+UQSV5ysS2Ew87XnMDw==">CgMxLjA4AHIhMWpSd0FjX3BxTVlrMmFsLXRoaGlLZThWUV9uZ1NjUzZN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2025-09-11T01:21:00Z</dcterms:created>
  <dc:creator>FRANCISCO JAVIER CAMPOS PINO</dc:creator>
</cp:coreProperties>
</file>