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highlight w:val="red"/>
        </w:rPr>
      </w:pPr>
      <w:bookmarkStart w:colFirst="0" w:colLast="0" w:name="_10glv7y1gckw" w:id="0"/>
      <w:bookmarkEnd w:id="0"/>
      <w:r w:rsidDel="00000000" w:rsidR="00000000" w:rsidRPr="00000000">
        <w:rPr>
          <w:rtl w:val="0"/>
        </w:rPr>
        <w:t xml:space="preserve">Manual del Líder Técnico</w:t>
      </w:r>
      <w:r w:rsidDel="00000000" w:rsidR="00000000" w:rsidRPr="00000000">
        <w:rPr>
          <w:rtl w:val="0"/>
        </w:rPr>
      </w:r>
    </w:p>
    <w:p w:rsidR="00000000" w:rsidDel="00000000" w:rsidP="00000000" w:rsidRDefault="00000000" w:rsidRPr="00000000" w14:paraId="00000002">
      <w:pPr>
        <w:pStyle w:val="Subtitle"/>
        <w:ind w:left="0" w:firstLine="0"/>
        <w:jc w:val="left"/>
        <w:rPr/>
      </w:pPr>
      <w:bookmarkStart w:colFirst="0" w:colLast="0" w:name="_hpf69ke85d4f" w:id="1"/>
      <w:bookmarkEnd w:id="1"/>
      <w:r w:rsidDel="00000000" w:rsidR="00000000" w:rsidRPr="00000000">
        <w:rPr>
          <w:sz w:val="32"/>
          <w:szCs w:val="32"/>
          <w:rtl w:val="0"/>
        </w:rPr>
        <w:t xml:space="preserve">para trabajo</w:t>
      </w:r>
      <w:r w:rsidDel="00000000" w:rsidR="00000000" w:rsidRPr="00000000">
        <w:rPr>
          <w:sz w:val="32"/>
          <w:szCs w:val="32"/>
          <w:rtl w:val="0"/>
        </w:rPr>
        <w:t xml:space="preserve"> con versiones en equipos de proyectos finales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br w:type="textWrapping"/>
        <w:t xml:space="preserve">Como veníamos adelantando en el Instructivo Git general, el Líder Técnico (de ahora en más LT) tendrá además de su rol como desarrollador, tareas específicas a realizar antes de comenzar el trabajo con versiones, así como también responsabilidades extra de verificación de la calidad del código. </w:t>
      </w:r>
    </w:p>
    <w:p w:rsidR="00000000" w:rsidDel="00000000" w:rsidP="00000000" w:rsidRDefault="00000000" w:rsidRPr="00000000" w14:paraId="00000004">
      <w:pPr>
        <w:rPr/>
      </w:pPr>
      <w:r w:rsidDel="00000000" w:rsidR="00000000" w:rsidRPr="00000000">
        <w:rPr>
          <w:rtl w:val="0"/>
        </w:rPr>
        <w:t xml:space="preserve">Como desarrolladores deberán…</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Cumplir con los estándares de calidad definido por el grupo.</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Realizar los procedimientos diarios como el resto de sus compañeros y compañeras.</w:t>
      </w:r>
    </w:p>
    <w:p w:rsidR="00000000" w:rsidDel="00000000" w:rsidP="00000000" w:rsidRDefault="00000000" w:rsidRPr="00000000" w14:paraId="00000007">
      <w:pPr>
        <w:ind w:left="0" w:firstLine="0"/>
        <w:rPr/>
      </w:pPr>
      <w:r w:rsidDel="00000000" w:rsidR="00000000" w:rsidRPr="00000000">
        <w:rPr>
          <w:rtl w:val="0"/>
        </w:rPr>
        <w:t xml:space="preserve">Como LT deberán:</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Asegurarse de que las tareas de sus compañeros estén completas antes de aceptar un pull request.</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Asegurarse que cada versión que se añada a las ramas principales estén funcionando correctamente y sin errores. </w:t>
      </w:r>
    </w:p>
    <w:p w:rsidR="00000000" w:rsidDel="00000000" w:rsidP="00000000" w:rsidRDefault="00000000" w:rsidRPr="00000000" w14:paraId="0000000A">
      <w:pPr>
        <w:numPr>
          <w:ilvl w:val="0"/>
          <w:numId w:val="2"/>
        </w:numPr>
        <w:ind w:left="720" w:hanging="360"/>
        <w:rPr>
          <w:u w:val="none"/>
        </w:rPr>
      </w:pPr>
      <w:r w:rsidDel="00000000" w:rsidR="00000000" w:rsidRPr="00000000">
        <w:rPr>
          <w:b w:val="1"/>
          <w:rtl w:val="0"/>
        </w:rPr>
        <w:t xml:space="preserve">Pasar a main la versión final que mostrarán en la demo</w:t>
      </w:r>
      <w:r w:rsidDel="00000000" w:rsidR="00000000" w:rsidRPr="00000000">
        <w:rPr>
          <w:rtl w:val="0"/>
        </w:rPr>
        <w:t xml:space="preserve">, antes de la ceremonia. El link es un entregable más.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Asegurarse de que las entregas cumplan con el formato predefinido.</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Aceptar o rechazar pull requests.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Solicitar cambios en los códigos de los compañeros cuando sean necesarios.</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Hacer cambios necesarios a los códigos de los compañeros antes de hacer un merge en la rama principal siempre que:</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Se le haya dado oportunidad al compañero o compañera, o estén en tiempo límite antes de una presentación demo y esta tarea esté dentro de los requerimientos.</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Mientras la corrección tome poco tiempo o se disponga de ese tiempo por haber concluido las propias. En caso de que no, también puede asignar la tarea de modificación a otro compañero o solicitar que asista al dueño del código con los cambios necesarios.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1"/>
        <w:rPr/>
      </w:pPr>
      <w:bookmarkStart w:colFirst="0" w:colLast="0" w:name="_e3gwnskcgr4k" w:id="2"/>
      <w:bookmarkEnd w:id="2"/>
      <w:r w:rsidDel="00000000" w:rsidR="00000000" w:rsidRPr="00000000">
        <w:rPr>
          <w:rtl w:val="0"/>
        </w:rPr>
        <w:t xml:space="preserve">Configuraciones iniciales</w:t>
      </w:r>
    </w:p>
    <w:p w:rsidR="00000000" w:rsidDel="00000000" w:rsidP="00000000" w:rsidRDefault="00000000" w:rsidRPr="00000000" w14:paraId="00000014">
      <w:pPr>
        <w:rPr/>
      </w:pPr>
      <w:r w:rsidDel="00000000" w:rsidR="00000000" w:rsidRPr="00000000">
        <w:rPr>
          <w:rtl w:val="0"/>
        </w:rPr>
        <w:t xml:space="preserve">Luego de hacer el primer commit podemos hacer la configuración de protección de ramas. En la imagen siguiente vemos el mensaje que nos indica que nuestra rama principal </w:t>
      </w:r>
      <w:r w:rsidDel="00000000" w:rsidR="00000000" w:rsidRPr="00000000">
        <w:rPr>
          <w:i w:val="1"/>
          <w:rtl w:val="0"/>
        </w:rPr>
        <w:t xml:space="preserve">main</w:t>
      </w:r>
      <w:r w:rsidDel="00000000" w:rsidR="00000000" w:rsidRPr="00000000">
        <w:rPr>
          <w:rtl w:val="0"/>
        </w:rPr>
        <w:t xml:space="preserve"> no está protegida. Vamos a hacer una configuración básica para impedir </w:t>
      </w:r>
      <w:r w:rsidDel="00000000" w:rsidR="00000000" w:rsidRPr="00000000">
        <w:rPr>
          <w:i w:val="1"/>
          <w:rtl w:val="0"/>
        </w:rPr>
        <w:t xml:space="preserve">merge </w:t>
      </w:r>
      <w:r w:rsidDel="00000000" w:rsidR="00000000" w:rsidRPr="00000000">
        <w:rPr>
          <w:rtl w:val="0"/>
        </w:rPr>
        <w:t xml:space="preserve">directos. Para eso primero nos dirigiremos a </w:t>
      </w:r>
      <w:r w:rsidDel="00000000" w:rsidR="00000000" w:rsidRPr="00000000">
        <w:rPr>
          <w:i w:val="1"/>
          <w:rtl w:val="0"/>
        </w:rPr>
        <w:t xml:space="preserve">Settings:</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13589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Luego seleccionaremos </w:t>
      </w:r>
      <w:r w:rsidDel="00000000" w:rsidR="00000000" w:rsidRPr="00000000">
        <w:rPr>
          <w:i w:val="1"/>
          <w:rtl w:val="0"/>
        </w:rPr>
        <w:t xml:space="preserve">Branches</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drawing>
          <wp:inline distB="114300" distT="114300" distL="114300" distR="114300">
            <wp:extent cx="4414838" cy="272837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14838" cy="27283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t xml:space="preserve">Dentro del menú agregaremos una regla de protección seleccionando el botón </w:t>
      </w:r>
      <w:r w:rsidDel="00000000" w:rsidR="00000000" w:rsidRPr="00000000">
        <w:rPr>
          <w:i w:val="1"/>
          <w:rtl w:val="0"/>
        </w:rPr>
        <w:t xml:space="preserve">Add branch protection rule.</w:t>
      </w:r>
    </w:p>
    <w:p w:rsidR="00000000" w:rsidDel="00000000" w:rsidP="00000000" w:rsidRDefault="00000000" w:rsidRPr="00000000" w14:paraId="0000001A">
      <w:pPr>
        <w:rPr/>
      </w:pPr>
      <w:r w:rsidDel="00000000" w:rsidR="00000000" w:rsidRPr="00000000">
        <w:rPr/>
        <w:drawing>
          <wp:inline distB="114300" distT="114300" distL="114300" distR="114300">
            <wp:extent cx="4700588" cy="2219722"/>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00588" cy="221972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i w:val="1"/>
        </w:rPr>
      </w:pPr>
      <w:r w:rsidDel="00000000" w:rsidR="00000000" w:rsidRPr="00000000">
        <w:rPr>
          <w:rtl w:val="0"/>
        </w:rPr>
        <w:t xml:space="preserve">En el campo de abajo pondremos el nombre de la rama a proteger y luego tildaremos </w:t>
      </w:r>
      <w:r w:rsidDel="00000000" w:rsidR="00000000" w:rsidRPr="00000000">
        <w:rPr>
          <w:i w:val="1"/>
          <w:rtl w:val="0"/>
        </w:rPr>
        <w:t xml:space="preserve">Require a pull request before merging.</w:t>
      </w:r>
    </w:p>
    <w:p w:rsidR="00000000" w:rsidDel="00000000" w:rsidP="00000000" w:rsidRDefault="00000000" w:rsidRPr="00000000" w14:paraId="0000001C">
      <w:pPr>
        <w:rPr/>
      </w:pPr>
      <w:r w:rsidDel="00000000" w:rsidR="00000000" w:rsidRPr="00000000">
        <w:rPr/>
        <w:drawing>
          <wp:inline distB="114300" distT="114300" distL="114300" distR="114300">
            <wp:extent cx="4681538" cy="352256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81538" cy="35225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Se nos desplegará un menú. Deberemos seleccionar las dos opciones de la imagen.</w:t>
      </w:r>
    </w:p>
    <w:p w:rsidR="00000000" w:rsidDel="00000000" w:rsidP="00000000" w:rsidRDefault="00000000" w:rsidRPr="00000000" w14:paraId="0000001F">
      <w:pPr>
        <w:rPr/>
      </w:pPr>
      <w:r w:rsidDel="00000000" w:rsidR="00000000" w:rsidRPr="00000000">
        <w:rPr/>
        <w:drawing>
          <wp:inline distB="114300" distT="114300" distL="114300" distR="114300">
            <wp:extent cx="5167313" cy="3321844"/>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67313" cy="332184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 la primera estaremos indicando el número de aprobaciones que deberá tener el código antes de poder hacer un </w:t>
      </w:r>
      <w:r w:rsidDel="00000000" w:rsidR="00000000" w:rsidRPr="00000000">
        <w:rPr>
          <w:i w:val="1"/>
          <w:rtl w:val="0"/>
        </w:rPr>
        <w:t xml:space="preserve">merge. </w:t>
      </w:r>
      <w:r w:rsidDel="00000000" w:rsidR="00000000" w:rsidRPr="00000000">
        <w:rPr>
          <w:rtl w:val="0"/>
        </w:rPr>
        <w:t xml:space="preserve">Con la segunda, que requerirá de la aprobación del dueño del código, que debería ser el LT.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u47hymqofjh3" w:id="3"/>
      <w:bookmarkEnd w:id="3"/>
      <w:r w:rsidDel="00000000" w:rsidR="00000000" w:rsidRPr="00000000">
        <w:rPr>
          <w:rtl w:val="0"/>
        </w:rPr>
        <w:t xml:space="preserve">Cambio de propiedad del repositorio</w:t>
      </w:r>
    </w:p>
    <w:p w:rsidR="00000000" w:rsidDel="00000000" w:rsidP="00000000" w:rsidRDefault="00000000" w:rsidRPr="00000000" w14:paraId="00000023">
      <w:pPr>
        <w:rPr/>
      </w:pPr>
      <w:r w:rsidDel="00000000" w:rsidR="00000000" w:rsidRPr="00000000">
        <w:rPr>
          <w:rtl w:val="0"/>
        </w:rPr>
        <w:t xml:space="preserve">En caso de que no hayan seguido las indicaciones de roles y el LT no sea el dueño del repositorio podemos transferir la propiedad ingresando a </w:t>
      </w:r>
      <w:r w:rsidDel="00000000" w:rsidR="00000000" w:rsidRPr="00000000">
        <w:rPr>
          <w:i w:val="1"/>
          <w:rtl w:val="0"/>
        </w:rPr>
        <w:t xml:space="preserve">Settings &gt; General </w:t>
      </w:r>
      <w:r w:rsidDel="00000000" w:rsidR="00000000" w:rsidRPr="00000000">
        <w:rPr>
          <w:rtl w:val="0"/>
        </w:rPr>
        <w:t xml:space="preserve"> y desplazándonos hasta el fondo de la página donde encontraremos opciones en rojo.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773732" cy="2572855"/>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73732" cy="25728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Deberemos seleccionar el botón </w:t>
      </w:r>
      <w:r w:rsidDel="00000000" w:rsidR="00000000" w:rsidRPr="00000000">
        <w:rPr>
          <w:i w:val="1"/>
          <w:rtl w:val="0"/>
        </w:rPr>
        <w:t xml:space="preserve">Transfer.</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136690" cy="2520338"/>
            <wp:effectExtent b="0" l="0" r="0" t="0"/>
            <wp:docPr id="4" name="image4.png"/>
            <a:graphic>
              <a:graphicData uri="http://schemas.openxmlformats.org/drawingml/2006/picture">
                <pic:pic>
                  <pic:nvPicPr>
                    <pic:cNvPr id="0" name="image4.png"/>
                    <pic:cNvPicPr preferRelativeResize="0"/>
                  </pic:nvPicPr>
                  <pic:blipFill>
                    <a:blip r:embed="rId12"/>
                    <a:srcRect b="0" l="0" r="0" t="28009"/>
                    <a:stretch>
                      <a:fillRect/>
                    </a:stretch>
                  </pic:blipFill>
                  <pic:spPr>
                    <a:xfrm>
                      <a:off x="0" y="0"/>
                      <a:ext cx="5136690" cy="25203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 nos desplegará una ventana. En la primera opción escribiremos el nombre de usuario del LT en GitHub. En la segunda opción deberemos copiar el URI del proyecto (que tendrá el formato </w:t>
      </w:r>
      <w:r w:rsidDel="00000000" w:rsidR="00000000" w:rsidRPr="00000000">
        <w:rPr>
          <w:i w:val="1"/>
          <w:rtl w:val="0"/>
        </w:rPr>
        <w:t xml:space="preserve">nombre-usuario/nombre-proyecto</w:t>
      </w:r>
      <w:r w:rsidDel="00000000" w:rsidR="00000000" w:rsidRPr="00000000">
        <w:rPr>
          <w:rtl w:val="0"/>
        </w:rPr>
        <w:t xml:space="preserve">) para indicarle a GitHub que somos humanos y que estamos conscientes del cambio que estamos por realizar. Al presionar el botón en rojo, el LT será el dueño del código y quien podrá aceptar o rechazar solicitudes de </w:t>
      </w:r>
      <w:r w:rsidDel="00000000" w:rsidR="00000000" w:rsidRPr="00000000">
        <w:rPr>
          <w:i w:val="1"/>
          <w:rtl w:val="0"/>
        </w:rPr>
        <w:t xml:space="preserve">merge </w:t>
      </w:r>
      <w:r w:rsidDel="00000000" w:rsidR="00000000" w:rsidRPr="00000000">
        <w:rPr>
          <w:rtl w:val="0"/>
        </w:rPr>
        <w:t xml:space="preserve">a ramas principales.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424363" cy="4511581"/>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24363" cy="4511581"/>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54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spacing w:after="0" w:lineRule="auto"/>
      <w:jc w:val="left"/>
      <w:rPr>
        <w:rFonts w:ascii="Proxima Nova" w:cs="Proxima Nova" w:eastAsia="Proxima Nova" w:hAnsi="Proxima Nov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4914900</wp:posOffset>
          </wp:positionH>
          <wp:positionV relativeFrom="paragraph">
            <wp:posOffset>-209549</wp:posOffset>
          </wp:positionV>
          <wp:extent cx="851970" cy="453387"/>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51970" cy="45338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-157162</wp:posOffset>
          </wp:positionV>
          <wp:extent cx="753017" cy="47313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0" l="8726" r="8499" t="0"/>
                  <a:stretch>
                    <a:fillRect/>
                  </a:stretch>
                </pic:blipFill>
                <pic:spPr>
                  <a:xfrm>
                    <a:off x="0" y="0"/>
                    <a:ext cx="753017" cy="47313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4360515</wp:posOffset>
          </wp:positionH>
          <wp:positionV relativeFrom="page">
            <wp:posOffset>1789528</wp:posOffset>
          </wp:positionV>
          <wp:extent cx="1902172" cy="1107736"/>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902172" cy="110773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spacing w:before="20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300038</wp:posOffset>
          </wp:positionH>
          <wp:positionV relativeFrom="paragraph">
            <wp:posOffset>-228599</wp:posOffset>
          </wp:positionV>
          <wp:extent cx="7053263" cy="5603425"/>
          <wp:effectExtent b="0" l="0" r="0" t="0"/>
          <wp:wrapNone/>
          <wp:docPr id="12" name="image5.png"/>
          <a:graphic>
            <a:graphicData uri="http://schemas.openxmlformats.org/drawingml/2006/picture">
              <pic:pic>
                <pic:nvPicPr>
                  <pic:cNvPr id="0" name="image5.png"/>
                  <pic:cNvPicPr preferRelativeResize="0"/>
                </pic:nvPicPr>
                <pic:blipFill>
                  <a:blip r:embed="rId1"/>
                  <a:srcRect b="-34879" l="-20404" r="38676" t="70385"/>
                  <a:stretch>
                    <a:fillRect/>
                  </a:stretch>
                </pic:blipFill>
                <pic:spPr>
                  <a:xfrm>
                    <a:off x="0" y="0"/>
                    <a:ext cx="7053263" cy="5603425"/>
                  </a:xfrm>
                  <a:prstGeom prst="rect"/>
                  <a:ln/>
                </pic:spPr>
              </pic:pic>
            </a:graphicData>
          </a:graphic>
        </wp:anchor>
      </w:drawing>
    </w:r>
  </w:p>
  <w:tbl>
    <w:tblPr>
      <w:tblStyle w:val="Table1"/>
      <w:tblW w:w="10440.0" w:type="dxa"/>
      <w:jc w:val="center"/>
      <w:tblLayout w:type="fixed"/>
      <w:tblLook w:val="0600"/>
    </w:tblPr>
    <w:tblGrid>
      <w:gridCol w:w="2745"/>
      <w:gridCol w:w="5085"/>
      <w:gridCol w:w="2610"/>
      <w:tblGridChange w:id="0">
        <w:tblGrid>
          <w:gridCol w:w="2745"/>
          <w:gridCol w:w="5085"/>
          <w:gridCol w:w="2610"/>
        </w:tblGrid>
      </w:tblGridChange>
    </w:tblGrid>
    <w:tr>
      <w:trPr>
        <w:cantSplit w:val="0"/>
        <w:trHeight w:val="975" w:hRule="atLeast"/>
        <w:tblHeader w:val="0"/>
      </w:trPr>
      <w:tc>
        <w:tcPr>
          <w:tcBorders>
            <w:top w:color="000000" w:space="0" w:sz="0" w:val="nil"/>
            <w:left w:color="000000" w:space="0" w:sz="0" w:val="nil"/>
            <w:bottom w:color="000000" w:space="0" w:sz="0" w:val="nil"/>
            <w:right w:color="37474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pageBreakBefore w:val="0"/>
            <w:widowControl w:val="0"/>
            <w:spacing w:after="0" w:line="240" w:lineRule="auto"/>
            <w:jc w:val="left"/>
            <w:rPr/>
          </w:pPr>
          <w:r w:rsidDel="00000000" w:rsidR="00000000" w:rsidRPr="00000000">
            <w:rPr>
              <w:rtl w:val="0"/>
            </w:rPr>
          </w:r>
          <w:r w:rsidDel="00000000" w:rsidR="00000000" w:rsidRPr="00000000">
            <w:drawing>
              <wp:anchor allowOverlap="1" behindDoc="0" distB="36000" distT="0" distL="0" distR="0" hidden="0" layoutInCell="1" locked="0" relativeHeight="0" simplePos="0">
                <wp:simplePos x="0" y="0"/>
                <wp:positionH relativeFrom="column">
                  <wp:posOffset>238125</wp:posOffset>
                </wp:positionH>
                <wp:positionV relativeFrom="paragraph">
                  <wp:posOffset>-66674</wp:posOffset>
                </wp:positionV>
                <wp:extent cx="1257300" cy="608428"/>
                <wp:effectExtent b="0" l="0" r="0" t="0"/>
                <wp:wrapSquare wrapText="bothSides" distB="36000" distT="0" distL="0" distR="0"/>
                <wp:docPr id="9" name="image2.png"/>
                <a:graphic>
                  <a:graphicData uri="http://schemas.openxmlformats.org/drawingml/2006/picture">
                    <pic:pic>
                      <pic:nvPicPr>
                        <pic:cNvPr id="0" name="image2.png"/>
                        <pic:cNvPicPr preferRelativeResize="0"/>
                      </pic:nvPicPr>
                      <pic:blipFill>
                        <a:blip r:embed="rId2"/>
                        <a:srcRect b="12948" l="8726" r="8499" t="10879"/>
                        <a:stretch>
                          <a:fillRect/>
                        </a:stretch>
                      </pic:blipFill>
                      <pic:spPr>
                        <a:xfrm>
                          <a:off x="0" y="0"/>
                          <a:ext cx="1257300" cy="608428"/>
                        </a:xfrm>
                        <a:prstGeom prst="rect"/>
                        <a:ln/>
                      </pic:spPr>
                    </pic:pic>
                  </a:graphicData>
                </a:graphic>
              </wp:anchor>
            </w:drawing>
          </w:r>
        </w:p>
      </w:tc>
      <w:tc>
        <w:tcPr>
          <w:tcBorders>
            <w:top w:color="000000" w:space="0" w:sz="0" w:val="nil"/>
            <w:left w:color="37474f"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1">
          <w:pPr>
            <w:pStyle w:val="Heading3"/>
            <w:pageBreakBefore w:val="0"/>
            <w:spacing w:after="0" w:line="240" w:lineRule="auto"/>
            <w:ind w:left="283.46456692913375" w:firstLine="0"/>
            <w:jc w:val="left"/>
            <w:rPr>
              <w:rFonts w:ascii="Georgia" w:cs="Georgia" w:eastAsia="Georgia" w:hAnsi="Georgia"/>
              <w:color w:val="ffce00"/>
              <w:sz w:val="38"/>
              <w:szCs w:val="38"/>
              <w:shd w:fill="auto" w:val="clear"/>
            </w:rPr>
          </w:pPr>
          <w:bookmarkStart w:colFirst="0" w:colLast="0" w:name="_za5w78x3jr7k" w:id="4"/>
          <w:bookmarkEnd w:id="4"/>
          <w:r w:rsidDel="00000000" w:rsidR="00000000" w:rsidRPr="00000000">
            <w:rPr>
              <w:rFonts w:ascii="Georgia" w:cs="Georgia" w:eastAsia="Georgia" w:hAnsi="Georgia"/>
              <w:sz w:val="38"/>
              <w:szCs w:val="38"/>
              <w:shd w:fill="auto" w:val="clear"/>
              <w:rtl w:val="0"/>
            </w:rPr>
            <w:t xml:space="preserve">Proyecto Final Integrador</w:t>
          </w:r>
          <w:r w:rsidDel="00000000" w:rsidR="00000000" w:rsidRPr="00000000">
            <w:rPr>
              <w:rtl w:val="0"/>
            </w:rPr>
          </w:r>
        </w:p>
        <w:p w:rsidR="00000000" w:rsidDel="00000000" w:rsidP="00000000" w:rsidRDefault="00000000" w:rsidRPr="00000000" w14:paraId="00000032">
          <w:pPr>
            <w:pageBreakBefore w:val="0"/>
            <w:spacing w:after="0" w:line="240" w:lineRule="auto"/>
            <w:ind w:left="283.46456692913375"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3">
          <w:pPr>
            <w:pageBreakBefore w:val="0"/>
            <w:widowControl w:val="0"/>
            <w:spacing w:before="200" w:lineRule="auto"/>
            <w:jc w:val="left"/>
            <w:rPr/>
          </w:pPr>
          <w:r w:rsidDel="00000000" w:rsidR="00000000" w:rsidRPr="00000000">
            <w:rPr>
              <w:rtl w:val="0"/>
            </w:rPr>
          </w:r>
        </w:p>
      </w:tc>
    </w:tr>
  </w:tbl>
  <w:p w:rsidR="00000000" w:rsidDel="00000000" w:rsidP="00000000" w:rsidRDefault="00000000" w:rsidRPr="00000000" w14:paraId="00000034">
    <w:pPr>
      <w:pageBreakBefore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434343"/>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32"/>
      <w:szCs w:val="32"/>
    </w:rPr>
  </w:style>
  <w:style w:type="paragraph" w:styleId="Heading2">
    <w:name w:val="heading 2"/>
    <w:basedOn w:val="Normal"/>
    <w:next w:val="Normal"/>
    <w:pPr>
      <w:keepNext w:val="1"/>
      <w:keepLines w:val="1"/>
      <w:pageBreakBefore w:val="0"/>
      <w:spacing w:before="360" w:lineRule="auto"/>
      <w:jc w:val="left"/>
    </w:pPr>
    <w:rPr>
      <w:sz w:val="32"/>
      <w:szCs w:val="32"/>
    </w:rPr>
  </w:style>
  <w:style w:type="paragraph" w:styleId="Heading3">
    <w:name w:val="heading 3"/>
    <w:basedOn w:val="Normal"/>
    <w:next w:val="Normal"/>
    <w:pPr>
      <w:keepNext w:val="1"/>
      <w:keepLines w:val="1"/>
      <w:pageBreakBefore w:val="0"/>
    </w:pPr>
    <w:rPr>
      <w:b w:val="1"/>
      <w:sz w:val="26"/>
      <w:szCs w:val="26"/>
      <w:shd w:fill="ffce00" w:val="clear"/>
    </w:rPr>
  </w:style>
  <w:style w:type="paragraph" w:styleId="Heading4">
    <w:name w:val="heading 4"/>
    <w:basedOn w:val="Normal"/>
    <w:next w:val="Normal"/>
    <w:pPr>
      <w:keepNext w:val="1"/>
      <w:keepLines w:val="1"/>
      <w:pageBreakBefore w:val="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240" w:lineRule="auto"/>
      <w:jc w:val="center"/>
    </w:pPr>
    <w:rPr>
      <w:b w:val="1"/>
      <w:sz w:val="80"/>
      <w:szCs w:val="80"/>
    </w:rPr>
  </w:style>
  <w:style w:type="paragraph" w:styleId="Subtitle">
    <w:name w:val="Subtitle"/>
    <w:basedOn w:val="Normal"/>
    <w:next w:val="Normal"/>
    <w:pPr>
      <w:keepNext w:val="1"/>
      <w:keepLines w:val="1"/>
      <w:pageBreakBefore w:val="0"/>
      <w:spacing w:after="0" w:line="240" w:lineRule="auto"/>
      <w:ind w:firstLine="1984.251968503937"/>
    </w:pPr>
    <w:rPr>
      <w:b w:val="1"/>
      <w:sz w:val="54"/>
      <w:szCs w:val="54"/>
      <w:shd w:fill="ffce00" w:val="clea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