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b/>
          <w:color w:val="003366"/>
          <w:sz w:val="52"/>
        </w:rPr>
        <w:t>CALCU | PLATAFORMA INTEGRAL</w:t>
      </w:r>
    </w:p>
    <w:p>
      <w:pPr>
        <w:spacing w:after="320"/>
      </w:pPr>
      <w:r>
        <w:rPr>
          <w:color w:val="0088CC"/>
          <w:sz w:val="26"/>
        </w:rPr>
        <w:t>Manual de Arquitectura, Módulos Operativos, Analítica Financiera (FP&amp;A), Licitaciones B2B y 3PL Logística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left w:val="single" w:sz="24" w:space="0" w:color="0088CC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0088CC"/>
                <w:sz w:val="19"/>
              </w:rPr>
              <w:t xml:space="preserve">[DOCUMENTO OFICIAL DE ARQUITECTURA &amp; USUARIO] </w:t>
            </w:r>
            <w:r>
              <w:rPr>
                <w:color w:val="333333"/>
                <w:sz w:val="19"/>
              </w:rPr>
              <w:t>Este documento describe de manera exhaustiva el funcionamiento de todos los dominios de la plataforma Calcu, su modelo de co-liderazgo por agentes de software, su infraestructura móvil sobre VPN Tailscale y la unidad de negocio desacoplada de Logística &amp; Distribución 3PL.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color w:val="64748B"/>
          <w:sz w:val="18"/>
        </w:rPr>
        <w:t>Versión: 2.5 Enterprise  |  Entorno: Python FastAPI + React 19 + Android 15 Capacitor  |  Fecha: Octubre 2026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03366"/>
          <w:sz w:val="34"/>
        </w:rPr>
        <w:t>1. Visión General &amp; Ecosistema de Agentes</w:t>
      </w:r>
    </w:p>
    <w:p>
      <w:pPr>
        <w:spacing w:before="40" w:after="100" w:line="276" w:lineRule="auto"/>
      </w:pPr>
      <w:r>
        <w:rPr>
          <w:color w:val="333333"/>
          <w:sz w:val="20"/>
        </w:rPr>
        <w:t>CALCU es un sistema operativo empresarial unificado que fusiona el control de abastecimiento ROP, la inteligencia de licitaciones públicas (SICE), el control presupuestario de gestión (FP&amp;A) y la unidad desacoplada de logística tercerizada (3PL).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Co-Liderazgo Bicefálico &amp; Subagentes Especializados</w:t>
      </w:r>
    </w:p>
    <w:p>
      <w:pPr>
        <w:spacing w:before="40" w:after="100" w:line="276" w:lineRule="auto"/>
      </w:pPr>
      <w:r>
        <w:rPr>
          <w:b/>
          <w:color w:val="003366"/>
        </w:rPr>
        <w:t xml:space="preserve">Estructura de Gobernanza: </w:t>
      </w:r>
      <w:r>
        <w:rPr>
          <w:color w:val="333333"/>
          <w:sz w:val="20"/>
        </w:rPr>
        <w:t>La evolución arquitectónica y operativa de la suite está dirigida por dos inteligencias rectoras: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</w:tcPr>
          <w:p>
            <w:r>
              <w:rPr>
                <w:b/>
                <w:color w:val="FFFFFF"/>
                <w:sz w:val="18"/>
              </w:rPr>
              <w:t>Agente / Rol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  <w:sz w:val="18"/>
              </w:rPr>
              <w:t>Especialidad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  <w:sz w:val="18"/>
              </w:rPr>
              <w:t>Dominio de Acción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Superagente Técnico (CTO)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Arquitectura Core &amp; Seguridad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Gobernanza de endpoints, modelos ORM, base de datos y APK.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Superagente Comercial (CSO/COO)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Estrategia &amp; Rentabilidad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Definición de pricing, márgenes B2B, licitaciones y EBITDA.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data-architect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Modelado Relacional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Esquemas SQLAlchemy, migraciones y tipos numéricos de alta precisión.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domain-engine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Algoritmos Matemáticos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Fórmulas puras de ROP, stock de seguridad, EOQ y capacidad volumétrica.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backend-services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Servicios REST &amp; RBAC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Rutas FastAPI, control de tokens JWT y permisos por rol (403).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ui-engineer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Experiencia de Usuario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Componentes React 19, mapas interactivos Leaflet y diseño Tailwind.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wms-architect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Almacenaje &amp; Rótulos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Gestión de racks multi-cliente y generación de rótulos Code128 y QR.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fleet-dispatch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Ruteo &amp; Telemetría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Capacidad cúbica de fletes, cálculo de km y tracking GPS móvil.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performance-analyst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FP&amp;A y Finanzas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Variance presupuestario, cálculo de VAN/TIR y márgenes de reparto.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003366"/>
          <w:sz w:val="34"/>
        </w:rPr>
        <w:t>2. Autenticación, Conectividad VPN y Multi-Rol (RBAC)</w:t>
      </w:r>
    </w:p>
    <w:p>
      <w:pPr>
        <w:spacing w:before="40" w:after="100" w:line="276" w:lineRule="auto"/>
      </w:pPr>
      <w:r>
        <w:rPr>
          <w:color w:val="333333"/>
          <w:sz w:val="20"/>
        </w:rPr>
        <w:t>La plataforma cuenta con un portal unificado de autenticación con selector de modo (Suite Corporativa o 3PL Logística) y botones de acceso rápido demo de 1-clic con credenciales aseguradas con JWT SHA-256.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3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Portal de Acceso - Modo 3PL Logística con conexión Tailscale VPN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su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Portal de Acceso - Modo Suite Calcu Corporativa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left w:val="single" w:sz="24" w:space="0" w:color="0088CC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0088CC"/>
                <w:sz w:val="19"/>
              </w:rPr>
              <w:t xml:space="preserve">[CONECTIVIDAD TAILSCALE VPN] </w:t>
            </w:r>
            <w:r>
              <w:rPr>
                <w:color w:val="333333"/>
                <w:sz w:val="19"/>
              </w:rPr>
              <w:t>Para conectar dispositivos móviles en calle (Android) con el servidor central de forma segura y sin exponer puertos públicos, la plataforma utiliza la red privada de malla Tailscale VPN (nodo 100.119.40.92 en puerto :8000 para API y :5173 para Web).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003366"/>
          <w:sz w:val="34"/>
        </w:rPr>
        <w:t>3. Módulos de la Suite Corporativa Calcu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3.1. Sala de Control (Control Room) &amp; Algoritmo ROP</w:t>
      </w:r>
    </w:p>
    <w:p>
      <w:pPr>
        <w:spacing w:before="40" w:after="100" w:line="276" w:lineRule="auto"/>
      </w:pPr>
      <w:r>
        <w:rPr>
          <w:color w:val="333333"/>
          <w:sz w:val="20"/>
        </w:rPr>
        <w:t>El Control Room es el centro neurálgico de la cadena de suministro. Monitorea en tiempo real el capital inmovilizado, días de cobertura de inventario y calcula de forma dinámica el Punto de Reorden (ROP):</w:t>
      </w:r>
    </w:p>
    <w:p>
      <w:pPr>
        <w:spacing w:before="40" w:after="100" w:line="276" w:lineRule="auto"/>
      </w:pPr>
      <w:r>
        <w:rPr>
          <w:b/>
          <w:color w:val="003366"/>
        </w:rPr>
        <w:t xml:space="preserve">Fórmula ROP: </w:t>
      </w:r>
      <w:r>
        <w:rPr>
          <w:color w:val="333333"/>
          <w:sz w:val="20"/>
        </w:rPr>
        <w:t>ROP = (Demanda Diaria Promedio * Lead Time en Días) + Stock de Seguridad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3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Tablero de Control Room con KPIs de Salud de Inventario y Alertas ROP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3.2. Stock Multi-Depósito &amp; Trazabilidad de Baches</w:t>
      </w:r>
    </w:p>
    <w:p>
      <w:pPr>
        <w:spacing w:before="40" w:after="100" w:line="276" w:lineRule="auto"/>
      </w:pPr>
      <w:r>
        <w:rPr>
          <w:color w:val="333333"/>
          <w:sz w:val="20"/>
        </w:rPr>
        <w:t>Permite la administración simultánea de múltiples almacenes físicos, transferencias entre depósitos y trazabilidad de lotes con fechas de ingreso y vencimiento.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ulti_st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Gestión de Ubicaciones Físicas y Trazabilidad Multi-Depósito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3.3. Finanzas Corporativas &amp; Control Presupuestario (FP&amp;A)</w:t>
      </w:r>
    </w:p>
    <w:p>
      <w:pPr>
        <w:spacing w:before="40" w:after="100" w:line="276" w:lineRule="auto"/>
      </w:pPr>
      <w:r>
        <w:rPr>
          <w:color w:val="333333"/>
          <w:sz w:val="20"/>
        </w:rPr>
        <w:t>Módulo de Variance Analysis que compara el presupuesto aprobado contra la ejecución real, imputando gastos por centros de costos (OPEX) y evaluando nuevos proyectos de capital (CAPEX) mediante VAN y TIR.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udget_vari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Control Presupuestario de Gastos y Análisis de Desvíos FP&amp;A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3.4. Pipeline Comercial (CRM B2B)</w:t>
      </w:r>
    </w:p>
    <w:p>
      <w:pPr>
        <w:spacing w:before="40" w:after="100" w:line="276" w:lineRule="auto"/>
      </w:pPr>
      <w:r>
        <w:rPr>
          <w:color w:val="333333"/>
          <w:sz w:val="20"/>
        </w:rPr>
        <w:t>Seguimiento visual de oportunidades corporativas por etapas de negociación, vinculadas a la ficha técnica de clientes y presupuestos asignados.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mercial_c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Pipeline Comercial Kanban B2B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3.5. Radar de Licitaciones &amp; Compras Estatales (SICE)</w:t>
      </w:r>
    </w:p>
    <w:p>
      <w:pPr>
        <w:spacing w:before="40" w:after="100" w:line="276" w:lineRule="auto"/>
      </w:pPr>
      <w:r>
        <w:rPr>
          <w:color w:val="333333"/>
          <w:sz w:val="20"/>
        </w:rPr>
        <w:t>Captura llamados abiertos de compras públicas del Estado uruguayo, analizando precios de adjudicación histórica de competidores y evaluando pliegos con el motor de Inteligencia Artificial.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enders_ra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Radar Inteligente de Compras Públicas y Licitaciones Estatales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03366"/>
          <w:sz w:val="34"/>
        </w:rPr>
        <w:t>4. Unidad Desacoplada: 3PL Logística &amp; Distribución</w:t>
      </w:r>
    </w:p>
    <w:p>
      <w:pPr>
        <w:spacing w:before="40" w:after="100" w:line="276" w:lineRule="auto"/>
      </w:pPr>
      <w:r>
        <w:rPr>
          <w:color w:val="333333"/>
          <w:sz w:val="20"/>
        </w:rPr>
        <w:t>Esta unidad de negocio opera como operador logístico independiente para la custodia y distribución capilar de mercadería de terceros (supermercados y PyMEs clientes), cobrando por servicios de almacenaje, manipulación y fletes.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4.1. Directorio de Clientes 3PL &amp; Matriz Tarifaria</w:t>
      </w:r>
    </w:p>
    <w:p>
      <w:pPr>
        <w:spacing w:before="40" w:after="100" w:line="276" w:lineRule="auto"/>
      </w:pPr>
      <w:r>
        <w:rPr>
          <w:color w:val="333333"/>
          <w:sz w:val="20"/>
        </w:rPr>
        <w:t>Permite registrar empresas clientes con múltiples sucursales de entrega y definir contratos con tarifas personalizadas de almacenaje ($/pallet/día), manipulación ($/bulto handling), acondicionamiento ($/unidad VAS) y fletes ($ base + $/km).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istics_cl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Directorio Maestro de Clientes 3PL y Tarifas Acordadas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4.2. Flota de Vehículos y Personal Tercerizado</w:t>
      </w:r>
    </w:p>
    <w:p>
      <w:pPr>
        <w:spacing w:before="40" w:after="100" w:line="276" w:lineRule="auto"/>
      </w:pPr>
      <w:r>
        <w:rPr>
          <w:color w:val="333333"/>
          <w:sz w:val="20"/>
        </w:rPr>
        <w:t>Ficha de conductores fleteros y operarios de depósito. Cada vehículo cuenta con su cubicaje volumétrico (m³), capacidad de carga (kg) y capacidad de pallets estandarizados.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gistics_fl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Administración de Flota, Capacidad Volumétrica y Choferes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4.3. Depósito WMS Multi-Cliente &amp; Generador de Rótulos Limpios</w:t>
      </w:r>
    </w:p>
    <w:p>
      <w:pPr>
        <w:spacing w:before="40" w:after="100" w:line="276" w:lineRule="auto"/>
      </w:pPr>
      <w:r>
        <w:rPr>
          <w:color w:val="333333"/>
          <w:sz w:val="20"/>
        </w:rPr>
        <w:t>Gestión de stock en custodia segregado por cliente. Permite el armado de pedidos por Picking Parcial con descuento automático de stock, y genera rótulos PDF con Código de Barras Code128 y Código QR 2D con zonas de quietud separadas para lectura óptica 100% libre de interferencias.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stics_inven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Inventario en Custodia WMS y Configuración del HUB Central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4.4. Kanban Operativo de 5 Estadios Logísticos</w:t>
      </w:r>
    </w:p>
    <w:p>
      <w:pPr>
        <w:spacing w:before="40" w:after="100" w:line="276" w:lineRule="auto"/>
      </w:pPr>
      <w:r>
        <w:rPr>
          <w:color w:val="333333"/>
          <w:sz w:val="20"/>
        </w:rPr>
        <w:t>Flujo de trabajo para coordinar el pedido: 1. Ingreso &amp; Descarga -&gt; 2. Acondicionamiento / Etiquetado -&gt; 3. Listo para Despacho -&gt; 4. En Distribución -&gt; 5. Entregado con Conformidad. Al asignar el transporte, el motor valida que no se supere el 100% de la capacidad de peso ni de volumen del vehículo.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stics_kanb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Tablero Kanban Operativo 3PL con Validación de Carga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4.5. Tracking GPS en Vivo &amp; HUB Central en Mapa Satelital</w:t>
      </w:r>
    </w:p>
    <w:p>
      <w:pPr>
        <w:spacing w:before="40" w:after="100" w:line="276" w:lineRule="auto"/>
      </w:pPr>
      <w:r>
        <w:rPr>
          <w:color w:val="333333"/>
          <w:sz w:val="20"/>
        </w:rPr>
        <w:t>Visualizador cartográfico sobre Leaflet (OpenStreetMap y Esri Satellite) que ubica el Centro de Distribución Base (HUB 3PL), las unidades de transporte en ruta y las polilíneas de despacho, alimentado por la telemetría en tiempo real transmitida desde el celular del chofer.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stics_track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Mapa Satelital con HUB Base 3PL y Unidades en Tránsito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4.6. Órdenes de Servicio Logístico &amp; Remitos Oficiales</w:t>
      </w:r>
    </w:p>
    <w:p>
      <w:pPr>
        <w:spacing w:before="40" w:after="100" w:line="276" w:lineRule="auto"/>
      </w:pPr>
      <w:r>
        <w:rPr>
          <w:color w:val="333333"/>
          <w:sz w:val="20"/>
        </w:rPr>
        <w:t>Generación e impresión de remitos de entrega oficiales con código QR y casillero legal para la firma digital del receptor.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istics_or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Historial de Órdenes de Servicio y Remitos con Firma Digital</w:t>
      </w:r>
    </w:p>
    <w:p>
      <w:pPr>
        <w:pStyle w:val="Heading2"/>
        <w:spacing w:before="280" w:after="120"/>
      </w:pPr>
      <w:r>
        <w:rPr>
          <w:b/>
          <w:color w:val="0088CC"/>
          <w:sz w:val="26"/>
        </w:rPr>
        <w:t>4.7. Costos Fijos, Variables &amp; Rentabilidad EBITDA 3PL</w:t>
      </w:r>
    </w:p>
    <w:p>
      <w:pPr>
        <w:spacing w:before="40" w:after="100" w:line="276" w:lineRule="auto"/>
      </w:pPr>
      <w:r>
        <w:rPr>
          <w:color w:val="333333"/>
          <w:sz w:val="20"/>
        </w:rPr>
        <w:t>Liquidación automatizada de los servicios facturados al cliente, liquidación de pagos a fleteros por viaje y kilómetro, registro de costos fijos (alquiler de depósito sincronizado con el Hub, luz) y variables (toner, stretch), generando el Estado de Resultados Operativo (EBITDA). Este módulo está estrictamente bloqueado para operarios y choferes.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ogistics_fin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Figura: Métricas de Rentabilidad EBITDA y Liquidaciones de Flete 3PL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03366"/>
          <w:sz w:val="34"/>
        </w:rPr>
        <w:t>5. Despliegue, App Móvil Nativa (APK) y Conectividad</w:t>
      </w:r>
    </w:p>
    <w:p>
      <w:pPr>
        <w:spacing w:before="40" w:after="100" w:line="276" w:lineRule="auto"/>
      </w:pPr>
      <w:r>
        <w:rPr>
          <w:color w:val="333333"/>
          <w:sz w:val="20"/>
        </w:rPr>
        <w:t>La plataforma cuenta con una solución integral de despliegue para escritorio y dispositivos móviles: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</w:tcPr>
          <w:p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312"/>
            <w:shd w:fill="003366"/>
          </w:tcPr>
          <w:p>
            <w:r>
              <w:rPr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Lanzador 1-Clic Windows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start_3pl_logistics.bat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Inicia Backend FastAPI (:8000) y Frontend Vite (:5173) en 0.0.0.0, detecta IPs de Tailscale y abre el navegador en modo 3PL.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Habilitador Firewall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abrir_puertos_firewall.bat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Configura las reglas de entrada en el Firewall de Windows para los puertos 8000 y 5173 permitiendo el acceso del celular.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App Móvil Nativa Android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Calcu3PL-Logistica.apk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sz w:val="17"/>
              </w:rPr>
              <w:t>APK nativa compilada con Capacitor y OpenJDK 21 para Android 15. Permite a choferes ver sus órdenes, transmitir GPS y capturar firmas.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/>
                <w:color w:val="003366"/>
                <w:sz w:val="17"/>
              </w:rPr>
              <w:t>Compilador de APK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build_apk.bat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Compila automáticamente el código TypeScript/React y regenera el APK nativo en segundos.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left w:val="single" w:sz="24" w:space="0" w:color="0088CC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0088CC"/>
                <w:sz w:val="19"/>
              </w:rPr>
              <w:t xml:space="preserve">[ESTADO OPERATIVO DEL SISTEMA] </w:t>
            </w:r>
            <w:r>
              <w:rPr>
                <w:color w:val="333333"/>
                <w:sz w:val="19"/>
              </w:rPr>
              <w:t>El sistema se encuentra 100% operativo tanto para uso en escritorio local como para distribución móvil en campo a través de la VPN privada Tailscale.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