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Nota</w:t>
      </w:r>
      <w:r>
        <w:t xml:space="preserve"> </w:t>
      </w:r>
      <w:r>
        <w:t xml:space="preserve">metodológica:</w:t>
      </w:r>
      <w:r>
        <w:t xml:space="preserve"> </w:t>
      </w:r>
      <w:r>
        <w:t xml:space="preserve">propuesta</w:t>
      </w:r>
      <w:r>
        <w:t xml:space="preserve"> </w:t>
      </w:r>
      <w:r>
        <w:t xml:space="preserve">para</w:t>
      </w:r>
      <w:r>
        <w:t xml:space="preserve"> </w:t>
      </w:r>
      <w:r>
        <w:t xml:space="preserve">revisión</w:t>
      </w:r>
      <w:r>
        <w:t xml:space="preserve"> </w:t>
      </w:r>
      <w:r>
        <w:t xml:space="preserve">del</w:t>
      </w:r>
      <w:r>
        <w:t xml:space="preserve"> </w:t>
      </w:r>
      <w:r>
        <w:t xml:space="preserve">Fondo</w:t>
      </w:r>
      <w:r>
        <w:t xml:space="preserve"> </w:t>
      </w:r>
      <w:r>
        <w:t xml:space="preserve">Potrerillos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December,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resumen-metodológico"/>
      <w:r>
        <w:t xml:space="preserve">Resumen metodológico</w:t>
      </w:r>
      <w:bookmarkEnd w:id="20"/>
    </w:p>
    <w:p>
      <w:pPr>
        <w:numPr>
          <w:numId w:val="1001"/>
          <w:ilvl w:val="0"/>
        </w:numPr>
      </w:pPr>
      <w:r>
        <w:t xml:space="preserve">Las obras de infraestructura de impermeabilización de canales se traducen a una disminución en las pérdidas por filtración en el trazado del sistema hídrico del río Mendoza.</w:t>
      </w:r>
    </w:p>
    <w:p>
      <w:pPr>
        <w:numPr>
          <w:numId w:val="1001"/>
          <w:ilvl w:val="0"/>
        </w:numPr>
      </w:pPr>
      <w:r>
        <w:t xml:space="preserve">Estas mejoras se interpretan como aumentos en la (</w:t>
      </w:r>
      <m:oMath>
        <m:r>
          <m:t>E</m:t>
        </m:r>
        <m:r>
          <m:t>f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) eficiencia de conducción por kilómetro de la unidad de manejo (UM).</w:t>
      </w:r>
      <w:r>
        <w:t xml:space="preserve"> </w:t>
      </w:r>
      <w:r>
        <w:t xml:space="preserve">Según los análisis actuales, la ganancia en EfC varía entre 10-22% dentro de la cuenca.</w:t>
      </w:r>
      <w:r>
        <w:t xml:space="preserve"> </w:t>
      </w:r>
      <w:r>
        <w:t xml:space="preserve">Se utilizaron los datos revisados y actualizados de caudales y eficiencias para los cálculos económicos.</w:t>
      </w:r>
    </w:p>
    <w:p>
      <w:pPr>
        <w:numPr>
          <w:numId w:val="1001"/>
          <w:ilvl w:val="0"/>
        </w:numPr>
      </w:pPr>
      <w:r>
        <w:t xml:space="preserve">Información utilizada por código de cauce</w:t>
      </w:r>
      <w:r>
        <w:t xml:space="preserve"> </w:t>
      </w:r>
      <w:r>
        <w:t xml:space="preserve">(DGI 2004)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Volumen entregado por hectárea productiva ajustado a los promedios históricos</w:t>
      </w:r>
      <w:r>
        <w:t xml:space="preserve"> </w:t>
      </w:r>
      <w:r>
        <w:t xml:space="preserve">(DGI 2016)</w:t>
      </w:r>
    </w:p>
    <w:p>
      <w:pPr>
        <w:pStyle w:val="Compact"/>
        <w:numPr>
          <w:numId w:val="1002"/>
          <w:ilvl w:val="1"/>
        </w:numPr>
      </w:pPr>
      <w:r>
        <w:t xml:space="preserve">Eficiencia de conducción o valor representativo de la Unidad de Manejo</w:t>
      </w:r>
      <w:r>
        <w:t xml:space="preserve"> </w:t>
      </w:r>
      <w:r>
        <w:t xml:space="preserve">(Cuneo et al. 2016)</w:t>
      </w:r>
    </w:p>
    <w:p>
      <w:pPr>
        <w:pStyle w:val="Compact"/>
        <w:numPr>
          <w:numId w:val="1002"/>
          <w:ilvl w:val="1"/>
        </w:numPr>
      </w:pPr>
      <w:r>
        <w:t xml:space="preserve">Costo de la inversión en revestimiento y longitud revestida (2017-2020)</w:t>
      </w:r>
    </w:p>
    <w:p>
      <w:pPr>
        <w:pStyle w:val="FirstParagraph"/>
      </w:pPr>
    </w:p>
    <w:p>
      <w:pPr>
        <w:numPr>
          <w:numId w:val="1003"/>
          <w:ilvl w:val="0"/>
        </w:numPr>
      </w:pPr>
      <w:r>
        <w:t xml:space="preserve">Río Mendoza: el precio medio por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ahorrado es $ 29.4 (USD</w:t>
      </w:r>
      <w:r>
        <w:t xml:space="preserve"> </w:t>
      </w:r>
      <w:r>
        <w:t xml:space="preserve">0.335).</w:t>
      </w:r>
      <w:r>
        <w:t xml:space="preserve"> </w:t>
      </w:r>
      <w:r>
        <w:t xml:space="preserve">El mismo fue calculado para superficie productiva; según la información disponible, este valor permitió un aumento en la disponibilidad de 5.291 hectómetros cúbicos anualmente (</w:t>
      </w:r>
      <m:oMath>
        <m:r>
          <m:t>H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t>/</m:t>
        </m:r>
        <m:r>
          <m:t>a</m:t>
        </m:r>
        <m:r>
          <m:t>ñ</m:t>
        </m:r>
        <m:r>
          <m:t>o</m:t>
        </m:r>
      </m:oMath>
      <w:r>
        <w:t xml:space="preserve">).</w:t>
      </w:r>
    </w:p>
    <w:p>
      <w:pPr>
        <w:numPr>
          <w:numId w:val="1003"/>
          <w:ilvl w:val="0"/>
        </w:numPr>
      </w:pPr>
      <w:r>
        <w:t xml:space="preserve">El Fondo Potrerillos puede actualizarse anualmente.</w:t>
      </w:r>
    </w:p>
    <w:p>
      <w:pPr>
        <w:pStyle w:val="Heading1"/>
      </w:pPr>
      <w:bookmarkStart w:id="21" w:name="referencias-bibliográficas"/>
      <w:r>
        <w:t xml:space="preserve">Referencias bibliográficas</w:t>
      </w:r>
      <w:bookmarkEnd w:id="21"/>
    </w:p>
    <w:bookmarkStart w:id="25" w:name="refs"/>
    <w:bookmarkStart w:id="22" w:name="ref-Cuneo2016"/>
    <w:p>
      <w:pPr>
        <w:pStyle w:val="Bibliography"/>
      </w:pPr>
      <w:r>
        <w:t xml:space="preserve">Cuneo, Guillermo, J Ferrer, A Laudadío, N Ortíz, M Roselló, and Juan Gustavo Satlari. 2016. “Eficiencia de conducción en la cuenca del río Mendoza.” 2008. Vol. 8. Mendoza: Departamento General de Irrigación.</w:t>
      </w:r>
    </w:p>
    <w:bookmarkEnd w:id="22"/>
    <w:bookmarkStart w:id="23" w:name="ref-DGI2004"/>
    <w:p>
      <w:pPr>
        <w:pStyle w:val="Bibliography"/>
      </w:pPr>
      <w:r>
        <w:t xml:space="preserve">DGI. 2004. “Compilación de Códigos de aplicación en el Departamento General de Irrigación.” Mendoza, Argentina: Departamento General de Irrigación.</w:t>
      </w:r>
    </w:p>
    <w:bookmarkEnd w:id="23"/>
    <w:bookmarkStart w:id="24" w:name="ref-DGI2016"/>
    <w:p>
      <w:pPr>
        <w:pStyle w:val="Bibliography"/>
      </w:pPr>
      <w:r>
        <w:t xml:space="preserve">———. 2016. “Balance Hídrico. Río Mendoza.” Mendoza, Argentina: Departamento General de Irrigacion.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metodológica: propuesta para revisión del Fondo Potrerillos</dc:title>
  <dc:creator/>
  <cp:keywords/>
  <dcterms:created xsi:type="dcterms:W3CDTF">2020-12-17T19:52:51Z</dcterms:created>
  <dcterms:modified xsi:type="dcterms:W3CDTF">2020-12-17T19:52:51Z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Departmento de Economía y Política Agraria. Facultad de Ciencias Agrarias. Universidad Nacional de Cuyo</vt:lpwstr>
  </property>
  <property fmtid="{D5CDD505-2E9C-101B-9397-08002B2CF9AE}" pid="3" name="bibliography">
    <vt:lpwstr>FcaIrrigacion.bib</vt:lpwstr>
  </property>
  <property fmtid="{D5CDD505-2E9C-101B-9397-08002B2CF9AE}" pid="4" name="cls">
    <vt:lpwstr>elsarticle.cls</vt:lpwstr>
  </property>
  <property fmtid="{D5CDD505-2E9C-101B-9397-08002B2CF9AE}" pid="5" name="date">
    <vt:lpwstr>17 December, 2020</vt:lpwstr>
  </property>
  <property fmtid="{D5CDD505-2E9C-101B-9397-08002B2CF9AE}" pid="6" name="documentclass">
    <vt:lpwstr>elsarticle</vt:lpwstr>
  </property>
  <property fmtid="{D5CDD505-2E9C-101B-9397-08002B2CF9AE}" pid="7" name="geometry">
    <vt:lpwstr>left=2.1cm,right=2.1cm,top=1.8cm,bottom=1.5cm</vt:lpwstr>
  </property>
  <property fmtid="{D5CDD505-2E9C-101B-9397-08002B2CF9AE}" pid="8" name="header-includes">
    <vt:lpwstr/>
  </property>
  <property fmtid="{D5CDD505-2E9C-101B-9397-08002B2CF9AE}" pid="9" name="output">
    <vt:lpwstr/>
  </property>
</Properties>
</file>