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A5207"/>
          <w:spacing w:val="40"/>
          <w:sz w:val="16"/>
          <w:szCs w:val="16"/>
        </w:rPr>
        <w:t xml:space="preserve">MERCADO VIVA · EXPOSICIÓN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90F"/>
          <w:sz w:val="34"/>
          <w:szCs w:val="34"/>
        </w:rPr>
        <w:t xml:space="preserve">Arquitectura y stack</w:t>
      </w:r>
    </w:p>
    <w:p>
      <w:pPr>
        <w:pBdr>
          <w:bottom w:val="single" w:color="8A5207" w:sz="8" w:space="6"/>
        </w:pBdr>
        <w:spacing w:after="160"/>
      </w:pPr>
      <w:r>
        <w:rPr>
          <w:rFonts w:ascii="Calibri" w:cs="Calibri" w:eastAsia="Calibri" w:hAnsi="Calibri"/>
          <w:color w:val="5C6153"/>
          <w:sz w:val="20"/>
          <w:szCs w:val="20"/>
        </w:rPr>
        <w:t xml:space="preserve">Cómo está armado el sistema, por qué así y cómo se protege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La idea en una línea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monolito modular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en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JavaScript de punta a punta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una sola API en Node.js dividida en módulos con fronteras claras, una PWA para los celulares y Postgres en Supabase. Es fácil de desplegar y mantener para un equipo pequeño, y cada módulo se puede separar después si el negocio crece.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Capas y tecnologías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336"/>
      </w:tblGrid>
      <w:tr>
        <w:trPr>
          <w:tblHeader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Capa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Celular / caja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PWA: React 19, Vite, Tailwind, Workbox, Dexie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Instalable, funciona sin señal, un solo código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Borde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Cloudflare (DNS y proxy)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HTTPS, protección y oculta la IP del servidor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Servidor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AWS EC2 t3.micro, Amazon Linux 2023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Bajo costo y control total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Web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nginx + Let's Encrypt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Sirve la app, certificado gratis que se renueva solo, cabeceras de seguridad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API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Node.js 22 + Express, pm2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Mismo lenguaje que la app; pm2 la reinicia si se cae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Datos</w:t>
            </w:r>
          </w:p>
        </w:tc>
        <w:tc>
          <w:tcPr>
            <w:tcW w:type="dxa" w:w="39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Supabase (Postgres) por REST + funciones SQL</w:t>
            </w:r>
          </w:p>
        </w:tc>
        <w:tc>
          <w:tcPr>
            <w:tcW w:type="dxa" w:w="4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Transacciones dentro de la base; modo local con PGlite para trabajar sin claves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Módulos de la API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Módulo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identidad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Usuarios, cédula y contraseña, sesiones, roles y primer administrador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catalogo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Productos, códigos de barras y códigos de balanza (peso en la etiqueta)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inventario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Libro de movimientos: entradas, salidas, merma, ajustes; existencias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ventas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Registrar la venta completa en una sola transacción (venta, líneas, stock)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tablero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Resumen del día: ventas, ganancia, qué pedir, horas pico, plata quieta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disponibilidad · conteo · pedidos</w:t>
            </w:r>
          </w:p>
        </w:tc>
        <w:tc>
          <w:tcPr>
            <w:tcW w:type="dxa" w:w="7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Preparados para las siguientes fases (reservas, conteos, pedidos en línea)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Reglas que sostienen el diseño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Una sola puerta por módulo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(su index.js). ESLint impide importar las tripas de otro módulo.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Arquitectura limpia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en inventario, ventas e identidad: dominio, casos de uso, puertos y adaptadores (SOLID).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El stock es un libro, no un número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se guardan movimientos y el saldo sale de ellos; siempre se sabe por qué cambió.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El precio lo pone la base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nunca la caja;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una venta nunca se bloquea por stock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se vende y queda la alerta.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Operaciones atómicas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como funciones SQL (todo o nada) llamadas por REST, sin conexión directa a Postgres.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Contraseñas con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scrypt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; bloqueo de 15 min tras 5 intentos; mismo mensaje si la cédula no existe.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Roles aplicados en la API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(no solo en la pantalla). Token de 10 min y sesión rotativa: si alguien copia la sesión, se cierran todas.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La clave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service_role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de Supabase vive solo en el servidor;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RLS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activado en todas las tablas.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HTTPS obligatorio con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HSTS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política de contenido (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CSP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), anti-iframe y panel de desarrollo bloqueado desde internet.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Organización y calidad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Monorepo con npm workspaces (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apps/api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apps/pwa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packages/compartido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db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). Ramas por funcionalidad hacia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develop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main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62 pruebas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lint en GitHub Actions. Despliegue con un comando: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npm run desplegar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.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Calibri" w:cs="Calibri" w:eastAsia="Calibri" w:hAnsi="Calibri"/>
        <w:color w:val="5C6153"/>
        <w:sz w:val="16"/>
        <w:szCs w:val="16"/>
      </w:rPr>
      <w:t xml:space="preserve">Mercado Viva · Arquitectura y stack</w:t>
    </w:r>
    <w:r>
      <w:rPr>
        <w:rFonts w:ascii="Calibri" w:cs="Calibri" w:eastAsia="Calibri" w:hAnsi="Calibri"/>
        <w:color w:val="5C6153"/>
        <w:sz w:val="16"/>
        <w:szCs w:val="16"/>
      </w:rPr>
      <w:t xml:space="preserve">	Página </w:t>
    </w:r>
    <w:r>
      <w:rPr>
        <w:rFonts w:ascii="Calibri" w:cs="Calibri" w:eastAsia="Calibri" w:hAnsi="Calibri"/>
        <w:color w:val="5C61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Mercado Viva</dc:creator>
  <cp:lastModifiedBy>Un-named</cp:lastModifiedBy>
  <cp:revision>1</cp:revision>
  <dcterms:created xsi:type="dcterms:W3CDTF">2026-09-15T06:26:17.770Z</dcterms:created>
  <dcterms:modified xsi:type="dcterms:W3CDTF">2026-09-15T06:26:17.770Z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