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24A" w:rsidRP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FUNDACIÓN UNIVERSITARIA LUIS AMIGÓ</w:t>
      </w:r>
    </w:p>
    <w:p w:rsidR="00E77C0B" w:rsidRP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FACULTAD DE CIENCIAS ECONÓMICAS</w:t>
      </w:r>
    </w:p>
    <w:p w:rsidR="00E77C0B" w:rsidRP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ASIGNATURA</w:t>
      </w:r>
      <w:proofErr w:type="gramStart"/>
      <w:r w:rsidRPr="00E77C0B">
        <w:rPr>
          <w:rFonts w:ascii="Arial" w:hAnsi="Arial" w:cs="Arial"/>
          <w:b/>
          <w:sz w:val="28"/>
          <w:szCs w:val="28"/>
        </w:rPr>
        <w:t>:  FINANZAS</w:t>
      </w:r>
      <w:proofErr w:type="gramEnd"/>
      <w:r w:rsidRPr="00E77C0B">
        <w:rPr>
          <w:rFonts w:ascii="Arial" w:hAnsi="Arial" w:cs="Arial"/>
          <w:b/>
          <w:sz w:val="28"/>
          <w:szCs w:val="28"/>
        </w:rPr>
        <w:t xml:space="preserve"> I</w:t>
      </w:r>
    </w:p>
    <w:p w:rsid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P.A.C.I.</w:t>
      </w:r>
    </w:p>
    <w:p w:rsidR="00E77C0B" w:rsidRDefault="00E77C0B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 los diferentes tipos de Planeación Financiera Empresarial.</w:t>
      </w:r>
    </w:p>
    <w:p w:rsidR="00E77C0B" w:rsidRDefault="00E77C0B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 soluciones que se pueden presentar, cuando una Compañía  mantiene un déficit permanente de su flujo de efectivo.</w:t>
      </w:r>
    </w:p>
    <w:p w:rsidR="00E77C0B" w:rsidRDefault="00E77C0B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Describir el esquema general de un Presupuesto de Efectivo.</w:t>
      </w:r>
    </w:p>
    <w:p w:rsidR="00E77C0B" w:rsidRPr="00E77C0B" w:rsidRDefault="00E77C0B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 razones que una Compañía tiene, para mantener efectivo propio.</w:t>
      </w:r>
    </w:p>
    <w:sectPr w:rsidR="00E77C0B" w:rsidRPr="00E77C0B" w:rsidSect="00B262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102EC"/>
    <w:multiLevelType w:val="hybridMultilevel"/>
    <w:tmpl w:val="354E3A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77C0B"/>
    <w:rsid w:val="00B2624A"/>
    <w:rsid w:val="00E77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2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7C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1</cp:revision>
  <dcterms:created xsi:type="dcterms:W3CDTF">2009-05-29T19:08:00Z</dcterms:created>
  <dcterms:modified xsi:type="dcterms:W3CDTF">2009-05-29T19:15:00Z</dcterms:modified>
</cp:coreProperties>
</file>