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54D" w:rsidRDefault="00127C9D">
      <w:pPr>
        <w:rPr>
          <w:rFonts w:ascii="Arial" w:hAnsi="Arial" w:cs="Arial"/>
          <w:sz w:val="24"/>
          <w:szCs w:val="24"/>
        </w:rPr>
      </w:pPr>
      <w:r w:rsidRPr="00127C9D">
        <w:rPr>
          <w:rFonts w:ascii="Arial" w:hAnsi="Arial" w:cs="Arial"/>
          <w:sz w:val="24"/>
          <w:szCs w:val="24"/>
        </w:rPr>
        <w:t>Análisis</w:t>
      </w:r>
    </w:p>
    <w:p w:rsidR="00127C9D" w:rsidRDefault="00127C9D" w:rsidP="000242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2422D">
        <w:rPr>
          <w:rFonts w:ascii="Arial" w:hAnsi="Arial" w:cs="Arial"/>
          <w:sz w:val="24"/>
          <w:szCs w:val="24"/>
        </w:rPr>
        <w:t xml:space="preserve">Con relación a las ventas mensuales analizadas en los componentes de la muestra, se encontró lo siguiente: </w:t>
      </w:r>
      <w:r w:rsidR="0002422D" w:rsidRPr="0002422D">
        <w:rPr>
          <w:rFonts w:ascii="Arial" w:hAnsi="Arial" w:cs="Arial"/>
          <w:sz w:val="24"/>
          <w:szCs w:val="24"/>
        </w:rPr>
        <w:t xml:space="preserve">el 30% ente $ 3 millones y $20 millones </w:t>
      </w:r>
      <w:r w:rsidRPr="0002422D">
        <w:rPr>
          <w:rFonts w:ascii="Arial" w:hAnsi="Arial" w:cs="Arial"/>
          <w:sz w:val="24"/>
          <w:szCs w:val="24"/>
        </w:rPr>
        <w:t>el 36% está concentrada entre $ 20 millones y $ 100 millones, el 21% se ubica en ventas entre $ 100 y $ 500 millones y un dato importante muestra que por encima de $ 500 millones se tiene el 13%</w:t>
      </w:r>
      <w:r w:rsidR="0002422D">
        <w:rPr>
          <w:rFonts w:ascii="Arial" w:hAnsi="Arial" w:cs="Arial"/>
          <w:sz w:val="24"/>
          <w:szCs w:val="24"/>
        </w:rPr>
        <w:t>.</w:t>
      </w:r>
      <w:r w:rsidR="0002422D" w:rsidRPr="0002422D">
        <w:rPr>
          <w:rFonts w:ascii="Arial" w:hAnsi="Arial" w:cs="Arial"/>
          <w:sz w:val="24"/>
          <w:szCs w:val="24"/>
        </w:rPr>
        <w:t xml:space="preserve"> </w:t>
      </w:r>
    </w:p>
    <w:p w:rsidR="0002422D" w:rsidRDefault="0002422D" w:rsidP="0002422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2422D" w:rsidRDefault="0002422D" w:rsidP="0002422D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puede observar que en la central mayorista, coexisten negocios con bajos niveles de ventas y altos en forma equilibrada, lo cual nos permite </w:t>
      </w:r>
      <w:r w:rsidR="00EC6E01">
        <w:rPr>
          <w:rFonts w:ascii="Arial" w:hAnsi="Arial" w:cs="Arial"/>
          <w:sz w:val="24"/>
          <w:szCs w:val="24"/>
        </w:rPr>
        <w:t>concluir</w:t>
      </w:r>
      <w:r>
        <w:rPr>
          <w:rFonts w:ascii="Arial" w:hAnsi="Arial" w:cs="Arial"/>
          <w:sz w:val="24"/>
          <w:szCs w:val="24"/>
        </w:rPr>
        <w:t xml:space="preserve"> que  la plaza es un terreno en el cual hay diferentes tipos de comerciantes no solo en cuanto a sus productos sino también en cuanto el nivel de ventas</w:t>
      </w:r>
      <w:r w:rsidR="00EC6E01">
        <w:rPr>
          <w:rFonts w:ascii="Arial" w:hAnsi="Arial" w:cs="Arial"/>
          <w:sz w:val="24"/>
          <w:szCs w:val="24"/>
        </w:rPr>
        <w:t>, es importante resaltar que un 13% de los comerciantes muestran ventas por encima de $ 500 millones lo que nos corrobora lo antes mencionado.</w:t>
      </w:r>
    </w:p>
    <w:p w:rsidR="00EC6E01" w:rsidRDefault="00EC6E01" w:rsidP="0002422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FD5F2C" w:rsidRDefault="00EC6E01" w:rsidP="00FD5F2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82% del personal que labora en la plaza tiene vinculación </w:t>
      </w:r>
      <w:r w:rsidR="00286326">
        <w:rPr>
          <w:rFonts w:ascii="Arial" w:hAnsi="Arial" w:cs="Arial"/>
          <w:sz w:val="24"/>
          <w:szCs w:val="24"/>
        </w:rPr>
        <w:t xml:space="preserve">permanente, es decir se puede inferir que se tiene cierta estabilidad laboral, en tanto que el 18% es personal temporal que </w:t>
      </w:r>
      <w:r w:rsidR="00FD5F2C">
        <w:rPr>
          <w:rFonts w:ascii="Arial" w:hAnsi="Arial" w:cs="Arial"/>
          <w:sz w:val="24"/>
          <w:szCs w:val="24"/>
        </w:rPr>
        <w:t>ob</w:t>
      </w:r>
      <w:r w:rsidR="00286326">
        <w:rPr>
          <w:rFonts w:ascii="Arial" w:hAnsi="Arial" w:cs="Arial"/>
          <w:sz w:val="24"/>
          <w:szCs w:val="24"/>
        </w:rPr>
        <w:t xml:space="preserve">edece a ventas que se incrementan de </w:t>
      </w:r>
      <w:r w:rsidR="00FD5F2C">
        <w:rPr>
          <w:rFonts w:ascii="Arial" w:hAnsi="Arial" w:cs="Arial"/>
          <w:sz w:val="24"/>
          <w:szCs w:val="24"/>
        </w:rPr>
        <w:t>acuerdo</w:t>
      </w:r>
      <w:r w:rsidR="00286326">
        <w:rPr>
          <w:rFonts w:ascii="Arial" w:hAnsi="Arial" w:cs="Arial"/>
          <w:sz w:val="24"/>
          <w:szCs w:val="24"/>
        </w:rPr>
        <w:t xml:space="preserve"> algunas temporadas.</w:t>
      </w:r>
    </w:p>
    <w:p w:rsidR="00FD5F2C" w:rsidRPr="00FD5F2C" w:rsidRDefault="00FD5F2C" w:rsidP="00FD5F2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FD5F2C" w:rsidRDefault="00FD5F2C" w:rsidP="00EC6E0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72% de los comerciantes encuestados no tienen contabilidad internamente es decir normalmente es manejada por asesores contables, el </w:t>
      </w:r>
      <w:r w:rsidR="00A52D7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8% ha implementado un sistema contable propio en sus empresas.</w:t>
      </w:r>
    </w:p>
    <w:p w:rsidR="00A52D7F" w:rsidRPr="00A52D7F" w:rsidRDefault="00A52D7F" w:rsidP="00A52D7F">
      <w:pPr>
        <w:pStyle w:val="Prrafodelista"/>
        <w:rPr>
          <w:rFonts w:ascii="Arial" w:hAnsi="Arial" w:cs="Arial"/>
          <w:sz w:val="24"/>
          <w:szCs w:val="24"/>
        </w:rPr>
      </w:pPr>
    </w:p>
    <w:p w:rsidR="00A52D7F" w:rsidRPr="00A52D7F" w:rsidRDefault="00A52D7F" w:rsidP="00A52D7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52D7F">
        <w:rPr>
          <w:rFonts w:ascii="Arial" w:hAnsi="Arial" w:cs="Arial"/>
          <w:sz w:val="24"/>
          <w:szCs w:val="24"/>
        </w:rPr>
        <w:t>Con relación a la periodicidad en el recibo de la información contable, el 44% de los comerciantes la tienen antes de ocho días. Lo cual los posibilita para una adecuada toma de decisiones por la pertinencia de la información en el momento propicio; el 56% adolece de una información oportuna, lo que hace que la contabilidad no cumpla el papel que realmente debe cumplir.</w:t>
      </w:r>
    </w:p>
    <w:p w:rsidR="00A52D7F" w:rsidRPr="00A52D7F" w:rsidRDefault="00A52D7F" w:rsidP="00A52D7F">
      <w:pPr>
        <w:pStyle w:val="Prrafodelista"/>
        <w:rPr>
          <w:rFonts w:ascii="Arial" w:hAnsi="Arial" w:cs="Arial"/>
          <w:sz w:val="24"/>
          <w:szCs w:val="24"/>
        </w:rPr>
      </w:pPr>
    </w:p>
    <w:p w:rsidR="00A52D7F" w:rsidRDefault="00FA3F64" w:rsidP="00A52D7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nota que en la central mayorista, el Revisor fiscal no juega un papel importante puesto que el 72% no tienen revisor fiscal, ya que el monto requerido es de 3000 salarios mínimos para ingresos y para activos 5000.</w:t>
      </w:r>
    </w:p>
    <w:p w:rsidR="00FA3F64" w:rsidRPr="00FA3F64" w:rsidRDefault="00FA3F64" w:rsidP="00FA3F64">
      <w:pPr>
        <w:pStyle w:val="Prrafodelista"/>
        <w:rPr>
          <w:rFonts w:ascii="Arial" w:hAnsi="Arial" w:cs="Arial"/>
          <w:sz w:val="24"/>
          <w:szCs w:val="24"/>
        </w:rPr>
      </w:pPr>
    </w:p>
    <w:p w:rsidR="00FA3F64" w:rsidRDefault="00FA3F64" w:rsidP="00A52D7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negocios se financian fundamentalmente con créditos, especificados de la siguiente manera 33% a través de entidades financieras, el 29% con base en los proveedores y el 2% con crédito informal; el 33% del total de los recursos provienen de financiación propia, es importante anotar, que una fuente de financiación que se da en este tipo de negocios es el crédito </w:t>
      </w:r>
      <w:r>
        <w:rPr>
          <w:rFonts w:ascii="Arial" w:hAnsi="Arial" w:cs="Arial"/>
          <w:sz w:val="24"/>
          <w:szCs w:val="24"/>
        </w:rPr>
        <w:lastRenderedPageBreak/>
        <w:t xml:space="preserve">conocido como “gota a gota” lo cual tiene un efecto perverso sobre el costo de capital de las empresas. El hecho de financiarse con proveedores encarece el costo de la mercancía ya que se renuncia a los descuentos por pronto pago, que en nuestro medio </w:t>
      </w:r>
      <w:r w:rsidR="00A63EF5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ueden tener un efecto importante sobre la rentabilidad.</w:t>
      </w:r>
    </w:p>
    <w:p w:rsidR="00FA3F64" w:rsidRPr="00FA3F64" w:rsidRDefault="00FA3F64" w:rsidP="00FA3F64">
      <w:pPr>
        <w:pStyle w:val="Prrafodelista"/>
        <w:rPr>
          <w:rFonts w:ascii="Arial" w:hAnsi="Arial" w:cs="Arial"/>
          <w:sz w:val="24"/>
          <w:szCs w:val="24"/>
        </w:rPr>
      </w:pPr>
    </w:p>
    <w:p w:rsidR="00B548C2" w:rsidRDefault="00853004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 w:rsidRPr="00853004"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 xml:space="preserve"> </w:t>
      </w:r>
      <w:r w:rsidR="00B548C2">
        <w:rPr>
          <w:rFonts w:ascii="Arial" w:hAnsi="Arial" w:cs="Arial"/>
          <w:sz w:val="24"/>
          <w:szCs w:val="24"/>
        </w:rPr>
        <w:t>Las inversiones en el corto plazo se concentran principalmente en el rubro de inventarios con un 50%, el 34% se mantiene como efectivo bien sea en caja o bancos, con el propósito de cancelar los gastos y obligaciones financieras, de acuerdo al análisis se puede observar que no hay un conocimiento del mercado financiero y por lo tanto no se invierte en títulos valores, el dinero que está en caja y bancos, mientras se requiere de su utilización, es decir no mantener fondos ociosos que no generan ningún tipo de rentabilidad.</w:t>
      </w:r>
    </w:p>
    <w:p w:rsidR="00FA3F64" w:rsidRDefault="0038140D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 </w:t>
      </w:r>
      <w:r w:rsidR="004272DB">
        <w:rPr>
          <w:rFonts w:ascii="Arial" w:hAnsi="Arial" w:cs="Arial"/>
          <w:sz w:val="24"/>
          <w:szCs w:val="24"/>
        </w:rPr>
        <w:t xml:space="preserve">Un alto porcentaje, </w:t>
      </w:r>
      <w:r>
        <w:rPr>
          <w:rFonts w:ascii="Arial" w:hAnsi="Arial" w:cs="Arial"/>
          <w:sz w:val="24"/>
          <w:szCs w:val="24"/>
        </w:rPr>
        <w:t>de los negocios de la muestra, el 36%, no realiza inversiones de largo plazo, esto es porque se comprometen los recursos en el corto plazo, para garantizar la liquidez del negocio.</w:t>
      </w:r>
      <w:r w:rsidR="004272DB">
        <w:rPr>
          <w:rFonts w:ascii="Arial" w:hAnsi="Arial" w:cs="Arial"/>
          <w:sz w:val="24"/>
          <w:szCs w:val="24"/>
        </w:rPr>
        <w:t xml:space="preserve"> </w:t>
      </w:r>
      <w:r w:rsidR="0011600B">
        <w:rPr>
          <w:rFonts w:ascii="Arial" w:hAnsi="Arial" w:cs="Arial"/>
          <w:sz w:val="24"/>
          <w:szCs w:val="24"/>
        </w:rPr>
        <w:t xml:space="preserve"> El 64% de las inversiones en el largo plazo, se realizan principalmente en vehículos el 23%, propiedades el 15% y terrenos el 11%, el 9% en equipos de computo.</w:t>
      </w:r>
    </w:p>
    <w:p w:rsidR="0011600B" w:rsidRDefault="0011600B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</w:t>
      </w:r>
      <w:r w:rsidR="00BE1B40">
        <w:rPr>
          <w:rFonts w:ascii="Arial" w:hAnsi="Arial" w:cs="Arial"/>
          <w:sz w:val="24"/>
          <w:szCs w:val="24"/>
        </w:rPr>
        <w:t>En cuanto a las utilidades se llegó a la siguiente conclusión, el 48% de los negocios, las reinvierten totalmente, el 9% las distribuyen en su totalidad y el 42% de los negocios encuestados, reparten el 46% y reinvierten el 54% de sus utilidades.</w:t>
      </w:r>
    </w:p>
    <w:p w:rsidR="008610D5" w:rsidRDefault="00BE1B40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15. </w:t>
      </w:r>
      <w:r w:rsidR="003D7BFB">
        <w:rPr>
          <w:rFonts w:ascii="Arial" w:hAnsi="Arial" w:cs="Arial"/>
          <w:sz w:val="24"/>
          <w:szCs w:val="24"/>
        </w:rPr>
        <w:t xml:space="preserve">En la presentación de estados financieros, </w:t>
      </w:r>
      <w:r w:rsidR="008610D5">
        <w:rPr>
          <w:rFonts w:ascii="Arial" w:hAnsi="Arial" w:cs="Arial"/>
          <w:sz w:val="24"/>
          <w:szCs w:val="24"/>
        </w:rPr>
        <w:t>el 89% de las empresa encuestadas, utilizan el balance general y el estado de resultados, mientras que el 34% de la muestra, comienza a utilizar el flujo de caja como estado financiero importante, el 11% no usan contabilidad como informe de gestión.</w:t>
      </w:r>
    </w:p>
    <w:p w:rsidR="00ED7A77" w:rsidRDefault="003D7BFB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16. Los principales análisis que se presentan son el horizontal y el vertical, es decir análisis de tipo comparativo, </w:t>
      </w:r>
      <w:r w:rsidR="00ED7A77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</w:t>
      </w:r>
      <w:r w:rsidR="00ED7A77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4% no presenta ningún tipo de análisis</w:t>
      </w:r>
      <w:r w:rsidR="00ED7A77">
        <w:rPr>
          <w:rFonts w:ascii="Arial" w:hAnsi="Arial" w:cs="Arial"/>
          <w:sz w:val="24"/>
          <w:szCs w:val="24"/>
        </w:rPr>
        <w:t xml:space="preserve"> financiero, por lo cual se puede concluir que las decisiones no se soportan en conceptos financieros claramente elaborados.</w:t>
      </w:r>
    </w:p>
    <w:p w:rsidR="00BE1B40" w:rsidRPr="00853004" w:rsidRDefault="00ED7A77" w:rsidP="00B548C2">
      <w:p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17. La toma de decisiones </w:t>
      </w:r>
      <w:r w:rsidR="003D7BF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 los negocios encuestados recae fundamentalmente sobre los propietarios del negocio, representando el </w:t>
      </w:r>
      <w:r w:rsidR="004D7D39">
        <w:rPr>
          <w:rFonts w:ascii="Arial" w:hAnsi="Arial" w:cs="Arial"/>
          <w:sz w:val="24"/>
          <w:szCs w:val="24"/>
        </w:rPr>
        <w:t>81</w:t>
      </w:r>
      <w:r>
        <w:rPr>
          <w:rFonts w:ascii="Arial" w:hAnsi="Arial" w:cs="Arial"/>
          <w:sz w:val="24"/>
          <w:szCs w:val="24"/>
        </w:rPr>
        <w:t>%</w:t>
      </w:r>
      <w:r w:rsidR="004D7D39">
        <w:rPr>
          <w:rFonts w:ascii="Arial" w:hAnsi="Arial" w:cs="Arial"/>
          <w:sz w:val="24"/>
          <w:szCs w:val="24"/>
        </w:rPr>
        <w:t>, aunque cabe anotar que en algunas circunstancias la toma de decisiones se</w:t>
      </w:r>
      <w:r>
        <w:rPr>
          <w:rFonts w:ascii="Arial" w:hAnsi="Arial" w:cs="Arial"/>
          <w:sz w:val="24"/>
          <w:szCs w:val="24"/>
        </w:rPr>
        <w:t xml:space="preserve"> </w:t>
      </w:r>
      <w:r w:rsidR="004D7D39">
        <w:rPr>
          <w:rFonts w:ascii="Arial" w:hAnsi="Arial" w:cs="Arial"/>
          <w:sz w:val="24"/>
          <w:szCs w:val="24"/>
        </w:rPr>
        <w:t>apoya en el gerente el contador de la empresa.</w:t>
      </w:r>
    </w:p>
    <w:p w:rsidR="00FD5F2C" w:rsidRDefault="007A57F3" w:rsidP="007A57F3">
      <w:pPr>
        <w:pStyle w:val="Prrafodelista"/>
        <w:ind w:left="709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21. El 70% de los comerciantes de la muestra, tienen en cuenta factores de tipo externo para tomar decisiones, el 30% analiza solamente variables internas.</w:t>
      </w:r>
    </w:p>
    <w:p w:rsidR="007A57F3" w:rsidRDefault="007A57F3" w:rsidP="007A57F3">
      <w:pPr>
        <w:pStyle w:val="Prrafodelista"/>
        <w:ind w:left="284"/>
        <w:rPr>
          <w:rFonts w:ascii="Arial" w:hAnsi="Arial" w:cs="Arial"/>
          <w:sz w:val="24"/>
          <w:szCs w:val="24"/>
        </w:rPr>
      </w:pPr>
    </w:p>
    <w:p w:rsidR="007A57F3" w:rsidRDefault="007A57F3" w:rsidP="00463D17">
      <w:pPr>
        <w:pStyle w:val="Prrafodelista"/>
        <w:ind w:left="709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22. El 61%  de los clientes no realizan ningún tipo de planeación financiera, por lo tanto las decisiones se toman </w:t>
      </w:r>
      <w:r w:rsidR="00463D17">
        <w:rPr>
          <w:rFonts w:ascii="Arial" w:hAnsi="Arial" w:cs="Arial"/>
          <w:sz w:val="24"/>
          <w:szCs w:val="24"/>
        </w:rPr>
        <w:t>en forma empírica e improvisada.</w:t>
      </w:r>
    </w:p>
    <w:p w:rsidR="00463D17" w:rsidRDefault="00463D17" w:rsidP="007A57F3">
      <w:pPr>
        <w:pStyle w:val="Prrafodelista"/>
        <w:ind w:left="284"/>
        <w:rPr>
          <w:rFonts w:ascii="Arial" w:hAnsi="Arial" w:cs="Arial"/>
          <w:sz w:val="24"/>
          <w:szCs w:val="24"/>
        </w:rPr>
      </w:pPr>
    </w:p>
    <w:p w:rsidR="00463D17" w:rsidRDefault="00463D17" w:rsidP="00422FE6">
      <w:pPr>
        <w:pStyle w:val="Prrafodelista"/>
        <w:ind w:left="567" w:hanging="2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23. </w:t>
      </w:r>
      <w:r w:rsidR="002A50FF">
        <w:rPr>
          <w:rFonts w:ascii="Arial" w:hAnsi="Arial" w:cs="Arial"/>
          <w:sz w:val="24"/>
          <w:szCs w:val="24"/>
        </w:rPr>
        <w:t>En cuanto al seguimiento a las decisiones financieras el 50% de los encuestados</w:t>
      </w:r>
      <w:r w:rsidR="00422FE6">
        <w:rPr>
          <w:rFonts w:ascii="Arial" w:hAnsi="Arial" w:cs="Arial"/>
          <w:sz w:val="24"/>
          <w:szCs w:val="24"/>
        </w:rPr>
        <w:t xml:space="preserve"> afirman hacer seguimiento sobre sus decisiones, en tanto que 41% no realiza ningún tipo de seguimiento.</w:t>
      </w:r>
    </w:p>
    <w:p w:rsidR="007A57F3" w:rsidRPr="00FD5F2C" w:rsidRDefault="007A57F3" w:rsidP="00FD5F2C">
      <w:pPr>
        <w:pStyle w:val="Prrafodelista"/>
        <w:rPr>
          <w:rFonts w:ascii="Arial" w:hAnsi="Arial" w:cs="Arial"/>
          <w:sz w:val="24"/>
          <w:szCs w:val="24"/>
        </w:rPr>
      </w:pPr>
    </w:p>
    <w:p w:rsidR="00EC6E01" w:rsidRDefault="00EC6E01" w:rsidP="00EC6E01">
      <w:pPr>
        <w:pStyle w:val="Prrafodelista"/>
        <w:ind w:left="284"/>
        <w:jc w:val="both"/>
        <w:rPr>
          <w:rFonts w:ascii="Arial" w:hAnsi="Arial" w:cs="Arial"/>
          <w:sz w:val="24"/>
          <w:szCs w:val="24"/>
        </w:rPr>
      </w:pPr>
    </w:p>
    <w:p w:rsidR="00EC6E01" w:rsidRPr="0002422D" w:rsidRDefault="00EC6E01" w:rsidP="0002422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sectPr w:rsidR="00EC6E01" w:rsidRPr="0002422D" w:rsidSect="000205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D0783"/>
    <w:multiLevelType w:val="hybridMultilevel"/>
    <w:tmpl w:val="3962F6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9127D0"/>
    <w:multiLevelType w:val="hybridMultilevel"/>
    <w:tmpl w:val="BB8EE93E"/>
    <w:lvl w:ilvl="0" w:tplc="2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characterSpacingControl w:val="doNotCompress"/>
  <w:compat/>
  <w:rsids>
    <w:rsidRoot w:val="00127C9D"/>
    <w:rsid w:val="0002054D"/>
    <w:rsid w:val="0002422D"/>
    <w:rsid w:val="000346B2"/>
    <w:rsid w:val="0011147E"/>
    <w:rsid w:val="0011600B"/>
    <w:rsid w:val="00127C9D"/>
    <w:rsid w:val="00286326"/>
    <w:rsid w:val="002A50FF"/>
    <w:rsid w:val="002E5143"/>
    <w:rsid w:val="0038140D"/>
    <w:rsid w:val="003D7BFB"/>
    <w:rsid w:val="00422FE6"/>
    <w:rsid w:val="004272DB"/>
    <w:rsid w:val="00463D17"/>
    <w:rsid w:val="004D7D39"/>
    <w:rsid w:val="005D6FD7"/>
    <w:rsid w:val="005F35D5"/>
    <w:rsid w:val="007A57F3"/>
    <w:rsid w:val="00853004"/>
    <w:rsid w:val="008610D5"/>
    <w:rsid w:val="00A52D7F"/>
    <w:rsid w:val="00A6057A"/>
    <w:rsid w:val="00A63EF5"/>
    <w:rsid w:val="00B548C2"/>
    <w:rsid w:val="00BE1B40"/>
    <w:rsid w:val="00DB7957"/>
    <w:rsid w:val="00EC6E01"/>
    <w:rsid w:val="00ED7A77"/>
    <w:rsid w:val="00FA3F64"/>
    <w:rsid w:val="00FD5F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5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42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jairo cardona</cp:lastModifiedBy>
  <cp:revision>2</cp:revision>
  <dcterms:created xsi:type="dcterms:W3CDTF">2010-12-07T21:02:00Z</dcterms:created>
  <dcterms:modified xsi:type="dcterms:W3CDTF">2010-12-07T21:02:00Z</dcterms:modified>
</cp:coreProperties>
</file>