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Calibri" w:cs="Calibri" w:eastAsia="Calibri" w:hAnsi="Calibri"/>
          <w:b/>
          <w:bCs/>
          <w:color w:val="0F6B5C"/>
          <w:sz w:val="44"/>
          <w:szCs w:val="44"/>
        </w:rPr>
        <w:t xml:space="preserve">AdoptaFácil</w:t>
      </w:r>
    </w:p>
    <w:p>
      <w:pPr>
        <w:spacing w:after="400"/>
      </w:pPr>
      <w:r>
        <w:rPr>
          <w:rFonts w:ascii="Calibri" w:cs="Calibri" w:eastAsia="Calibri" w:hAnsi="Calibri"/>
          <w:b/>
          <w:bCs/>
          <w:color w:val="1A1A1A"/>
          <w:sz w:val="30"/>
          <w:szCs w:val="30"/>
        </w:rPr>
        <w:t xml:space="preserve">Propuesta de reconstrucción del cobro: Checkout API + Split de Pagos 1:1</w:t>
      </w:r>
    </w:p>
    <w:p>
      <w:pPr>
        <w:spacing w:after="60"/>
      </w:pPr>
      <w:r>
        <w:rPr>
          <w:rFonts w:ascii="Calibri" w:cs="Calibri" w:eastAsia="Calibri" w:hAnsi="Calibri"/>
          <w:i/>
          <w:iCs/>
          <w:color w:val="5B5B5B"/>
          <w:sz w:val="22"/>
          <w:szCs w:val="22"/>
        </w:rPr>
        <w:t xml:space="preserve">Documento para validación del cliente antes de iniciar el desarrollo.</w:t>
      </w:r>
    </w:p>
    <w:p>
      <w:pPr>
        <w:spacing w:after="600"/>
      </w:pPr>
      <w:r>
        <w:rPr>
          <w:rFonts w:ascii="Calibri" w:cs="Calibri" w:eastAsia="Calibri" w:hAnsi="Calibri"/>
          <w:color w:val="5B5B5B"/>
          <w:sz w:val="20"/>
          <w:szCs w:val="20"/>
        </w:rPr>
        <w:t xml:space="preserve">30 de septiembre de 2026</w:t>
      </w:r>
    </w:p>
    <w:p>
      <w:pPr>
        <w:pStyle w:val="Heading1"/>
        <w:spacing w:after="200" w:before="400"/>
      </w:pPr>
      <w:r>
        <w:rPr>
          <w:b/>
          <w:bCs/>
          <w:color w:val="0F6B5C"/>
          <w:sz w:val="30"/>
          <w:szCs w:val="30"/>
        </w:rPr>
        <w:t xml:space="preserve">1. Resumen ejecutivo</w:t>
      </w:r>
    </w:p>
    <w:p>
      <w:pPr>
        <w:spacing w:after="160"/>
      </w:pPr>
      <w:r>
        <w:rPr>
          <w:rFonts w:ascii="Calibri" w:cs="Calibri" w:eastAsia="Calibri" w:hAnsi="Calibri"/>
          <w:sz w:val="22"/>
          <w:szCs w:val="22"/>
        </w:rPr>
        <w:t xml:space="preserve">Este documento describe el cambio que se va a construir en el módulo de pagos de AdoptaFácil, a pedido del cliente: pasar de un cobro centralizado (Checkout Pro, una sola cuenta de MercadoPago de AdoptaFácil) a un modelo de Split de Pagos 1:1, donde cada organización conecta su propia cuenta de MercadoPago y recibe su parte directamente en el momento del cobro, sin que el dinero pase por una cuenta intermedia de AdoptaFácil.</w:t>
      </w:r>
    </w:p>
    <w:p>
      <w:pPr>
        <w:spacing w:after="160"/>
      </w:pPr>
      <w:r>
        <w:rPr>
          <w:rFonts w:ascii="Calibri" w:cs="Calibri" w:eastAsia="Calibri" w:hAnsi="Calibri"/>
          <w:sz w:val="22"/>
          <w:szCs w:val="22"/>
        </w:rPr>
        <w:t xml:space="preserve">El cliente definió además que la integración se haga con Checkout API (formulario de tarjeta embebido en el propio sitio de AdoptaFácil) en lugar de Checkout Pro (redirección al sitio de MercadoPago), que era el modelo usado hasta ahora.</w:t>
      </w:r>
    </w:p>
    <w:p>
      <w:pPr>
        <w:pBdr>
          <w:top w:val="single" w:color="0F6B5C" w:sz="4"/>
          <w:left w:val="single" w:color="0F6B5C" w:sz="4"/>
          <w:bottom w:val="single" w:color="0F6B5C" w:sz="4"/>
          <w:right w:val="single" w:color="0F6B5C" w:sz="4"/>
        </w:pBdr>
        <w:shd w:fill="FDECEA" w:val="clear"/>
        <w:spacing w:after="200" w:before="120"/>
      </w:pPr>
      <w:r>
        <w:rPr>
          <w:rFonts w:ascii="Calibri" w:cs="Calibri" w:eastAsia="Calibri" w:hAnsi="Calibri"/>
          <w:i/>
          <w:iCs/>
          <w:sz w:val="21"/>
          <w:szCs w:val="21"/>
        </w:rPr>
        <w:t xml:space="preserve">Este documento no compromete fechas de entrega. Su objetivo es que el cliente confirme el alcance y las decisiones abiertas ANTES de iniciar la reconstrucción, evitando rehacer trabajo si algo cambia sobre la marcha.</w:t>
      </w:r>
    </w:p>
    <w:p>
      <w:pPr>
        <w:pStyle w:val="Heading1"/>
        <w:spacing w:after="200" w:before="400"/>
      </w:pPr>
      <w:r>
        <w:rPr>
          <w:b/>
          <w:bCs/>
          <w:color w:val="0F6B5C"/>
          <w:sz w:val="30"/>
          <w:szCs w:val="30"/>
        </w:rPr>
        <w:t xml:space="preserve">2. Estado actual (lo que existe hoy)</w:t>
      </w:r>
    </w:p>
    <w:p>
      <w:pPr>
        <w:pStyle w:val="ListParagraph"/>
        <w:numPr>
          <w:ilvl w:val="0"/>
          <w:numId w:val="1"/>
        </w:numPr>
        <w:spacing w:after="100"/>
      </w:pPr>
      <w:r>
        <w:rPr>
          <w:rFonts w:ascii="Calibri" w:cs="Calibri" w:eastAsia="Calibri" w:hAnsi="Calibri"/>
          <w:sz w:val="22"/>
          <w:szCs w:val="22"/>
        </w:rPr>
        <w:t xml:space="preserve">Recaudo: Checkout Pro, con UNA sola cuenta de MercadoPago (la de AdoptaFácil) recibiendo el 100% de cada cobro.</w:t>
      </w:r>
    </w:p>
    <w:p>
      <w:pPr>
        <w:pStyle w:val="ListParagraph"/>
        <w:numPr>
          <w:ilvl w:val="0"/>
          <w:numId w:val="1"/>
        </w:numPr>
        <w:spacing w:after="100"/>
      </w:pPr>
      <w:r>
        <w:rPr>
          <w:rFonts w:ascii="Calibri" w:cs="Calibri" w:eastAsia="Calibri" w:hAnsi="Calibri"/>
          <w:sz w:val="22"/>
          <w:szCs w:val="22"/>
        </w:rPr>
        <w:t xml:space="preserve">El donante es redirigido al sitio de MercadoPago para pagar, y vuelve a AdoptaFácil al terminar (esto ya quedó conectado y probado en vivo esta semana).</w:t>
      </w:r>
    </w:p>
    <w:p>
      <w:pPr>
        <w:pStyle w:val="ListParagraph"/>
        <w:numPr>
          <w:ilvl w:val="0"/>
          <w:numId w:val="1"/>
        </w:numPr>
        <w:spacing w:after="100"/>
      </w:pPr>
      <w:r>
        <w:rPr>
          <w:rFonts w:ascii="Calibri" w:cs="Calibri" w:eastAsia="Calibri" w:hAnsi="Calibri"/>
          <w:sz w:val="22"/>
          <w:szCs w:val="22"/>
        </w:rPr>
        <w:t xml:space="preserve">La comisión de AdoptaFácil (4% + comisión de la pasarela) se calcula y se le muestra al donante, pero es solo un cálculo interno — MercadoPago no reparte nada automáticamente.</w:t>
      </w:r>
    </w:p>
    <w:p>
      <w:pPr>
        <w:pStyle w:val="ListParagraph"/>
        <w:numPr>
          <w:ilvl w:val="0"/>
          <w:numId w:val="1"/>
        </w:numPr>
        <w:spacing w:after="100"/>
      </w:pPr>
      <w:r>
        <w:rPr>
          <w:rFonts w:ascii="Calibri" w:cs="Calibri" w:eastAsia="Calibri" w:hAnsi="Calibri"/>
          <w:sz w:val="22"/>
          <w:szCs w:val="22"/>
        </w:rPr>
        <w:t xml:space="preserve">El dinero que le corresponde a cada organización se le transfiere aparte, de forma manual, un día después (T+1) — mecanismo ya construido pero bloqueado, a la espera de que MercadoPago apruebe el permiso "Disbursements" sobre la cuenta.</w:t>
      </w:r>
    </w:p>
    <w:p>
      <w:pPr>
        <w:pStyle w:val="ListParagraph"/>
        <w:numPr>
          <w:ilvl w:val="0"/>
          <w:numId w:val="1"/>
        </w:numPr>
        <w:spacing w:after="100"/>
      </w:pPr>
      <w:r>
        <w:rPr>
          <w:rFonts w:ascii="Calibri" w:cs="Calibri" w:eastAsia="Calibri" w:hAnsi="Calibri"/>
          <w:sz w:val="22"/>
          <w:szCs w:val="22"/>
        </w:rPr>
        <w:t xml:space="preserve">No existe ninguna conexión entre una organización y una cuenta de MercadoPago propia. Lo único que existe es un formulario de datos bancarios manuales ("¿a qué cuenta te transferimos?"), sin relación con MercadoPago.</w:t>
      </w:r>
    </w:p>
    <w:p>
      <w:pPr>
        <w:pStyle w:val="ListParagraph"/>
        <w:numPr>
          <w:ilvl w:val="0"/>
          <w:numId w:val="1"/>
        </w:numPr>
        <w:spacing w:after="100"/>
      </w:pPr>
      <w:r>
        <w:rPr>
          <w:rFonts w:ascii="Calibri" w:cs="Calibri" w:eastAsia="Calibri" w:hAnsi="Calibri"/>
          <w:sz w:val="22"/>
          <w:szCs w:val="22"/>
        </w:rPr>
        <w:t xml:space="preserve">Aplica igual para donaciones y para apadrinamientos — son los dos únicos flujos de cobro del sistema hoy.</w:t>
      </w:r>
    </w:p>
    <w:p>
      <w:pPr>
        <w:pStyle w:val="Heading1"/>
        <w:spacing w:after="200" w:before="400"/>
      </w:pPr>
      <w:r>
        <w:rPr>
          <w:b/>
          <w:bCs/>
          <w:color w:val="0F6B5C"/>
          <w:sz w:val="30"/>
          <w:szCs w:val="30"/>
        </w:rPr>
        <w:t xml:space="preserve">3. Qué se va a construir</w:t>
      </w:r>
    </w:p>
    <w:p>
      <w:pPr>
        <w:pStyle w:val="Heading2"/>
        <w:spacing w:after="150" w:before="300"/>
      </w:pPr>
      <w:r>
        <w:rPr>
          <w:b/>
          <w:bCs/>
          <w:color w:val="1A1A1A"/>
          <w:sz w:val="24"/>
          <w:szCs w:val="24"/>
        </w:rPr>
        <w:t xml:space="preserve">3.1 Split de Pagos 1:1 (reparto automático en el momento del cobro)</w:t>
      </w:r>
    </w:p>
    <w:p>
      <w:pPr>
        <w:spacing w:after="160"/>
      </w:pPr>
      <w:r>
        <w:rPr>
          <w:rFonts w:ascii="Calibri" w:cs="Calibri" w:eastAsia="Calibri" w:hAnsi="Calibri"/>
          <w:sz w:val="22"/>
          <w:szCs w:val="22"/>
        </w:rPr>
        <w:t xml:space="preserve">Cada organización conecta su propia cuenta de MercadoPago desde AdoptaFácil, mediante el flujo oficial de autorización de MercadoPago (OAuth) — sin contraseñas, tokens técnicos ni pasos financieros dentro de AdoptaFácil, tal como lo pidió el cliente. Para el refugio, la experiencia 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7040"/>
      </w:tblGrid>
      <w:tr>
        <w:tc>
          <w:tcPr>
            <w:tcW w:type="dxa" w:w="2000"/>
            <w:shd w:fill="EFEFEF" w:val="clear"/>
          </w:tcPr>
          <w:p>
            <w:r>
              <w:rPr>
                <w:rFonts w:ascii="Calibri" w:cs="Calibri" w:eastAsia="Calibri" w:hAnsi="Calibri"/>
                <w:b/>
                <w:bCs/>
                <w:sz w:val="20"/>
                <w:szCs w:val="20"/>
              </w:rPr>
              <w:t xml:space="preserve">Paso</w:t>
            </w:r>
          </w:p>
        </w:tc>
        <w:tc>
          <w:tcPr>
            <w:tcW w:type="dxa" w:w="7040"/>
            <w:shd w:fill="EFEFEF" w:val="clear"/>
          </w:tcPr>
          <w:p>
            <w:r>
              <w:rPr>
                <w:rFonts w:ascii="Calibri" w:cs="Calibri" w:eastAsia="Calibri" w:hAnsi="Calibri"/>
                <w:b/>
                <w:bCs/>
                <w:sz w:val="20"/>
                <w:szCs w:val="20"/>
              </w:rPr>
              <w:t xml:space="preserve">Qué ve la organización</w:t>
            </w:r>
          </w:p>
        </w:tc>
      </w:tr>
      <w:tr>
        <w:tc>
          <w:tcPr>
            <w:tcW w:type="dxa" w:w="2000"/>
          </w:tcPr>
          <w:p>
            <w:r>
              <w:rPr>
                <w:rFonts w:ascii="Calibri" w:cs="Calibri" w:eastAsia="Calibri" w:hAnsi="Calibri"/>
                <w:b w:val="false"/>
                <w:bCs w:val="false"/>
                <w:sz w:val="20"/>
                <w:szCs w:val="20"/>
              </w:rPr>
              <w:t xml:space="preserve">1</w:t>
            </w:r>
          </w:p>
        </w:tc>
        <w:tc>
          <w:tcPr>
            <w:tcW w:type="dxa" w:w="7040"/>
          </w:tcPr>
          <w:p>
            <w:r>
              <w:rPr>
                <w:rFonts w:ascii="Calibri" w:cs="Calibri" w:eastAsia="Calibri" w:hAnsi="Calibri"/>
                <w:b w:val="false"/>
                <w:bCs w:val="false"/>
                <w:sz w:val="20"/>
                <w:szCs w:val="20"/>
              </w:rPr>
              <w:t xml:space="preserve">"Conecta tu cuenta de Mercado Pago para recibir tus donaciones" + botón [Conectar Mercado Pago]</w:t>
            </w:r>
          </w:p>
        </w:tc>
      </w:tr>
      <w:tr>
        <w:tc>
          <w:tcPr>
            <w:tcW w:type="dxa" w:w="2000"/>
          </w:tcPr>
          <w:p>
            <w:r>
              <w:rPr>
                <w:rFonts w:ascii="Calibri" w:cs="Calibri" w:eastAsia="Calibri" w:hAnsi="Calibri"/>
                <w:b w:val="false"/>
                <w:bCs w:val="false"/>
                <w:sz w:val="20"/>
                <w:szCs w:val="20"/>
              </w:rPr>
              <w:t xml:space="preserve">2</w:t>
            </w:r>
          </w:p>
        </w:tc>
        <w:tc>
          <w:tcPr>
            <w:tcW w:type="dxa" w:w="7040"/>
          </w:tcPr>
          <w:p>
            <w:r>
              <w:rPr>
                <w:rFonts w:ascii="Calibri" w:cs="Calibri" w:eastAsia="Calibri" w:hAnsi="Calibri"/>
                <w:b w:val="false"/>
                <w:bCs w:val="false"/>
                <w:sz w:val="20"/>
                <w:szCs w:val="20"/>
              </w:rPr>
              <w:t xml:space="preserve">MercadoPago le pide iniciar sesión y autorizar la conexión</w:t>
            </w:r>
          </w:p>
        </w:tc>
      </w:tr>
      <w:tr>
        <w:tc>
          <w:tcPr>
            <w:tcW w:type="dxa" w:w="2000"/>
          </w:tcPr>
          <w:p>
            <w:r>
              <w:rPr>
                <w:rFonts w:ascii="Calibri" w:cs="Calibri" w:eastAsia="Calibri" w:hAnsi="Calibri"/>
                <w:b w:val="false"/>
                <w:bCs w:val="false"/>
                <w:sz w:val="20"/>
                <w:szCs w:val="20"/>
              </w:rPr>
              <w:t xml:space="preserve">3</w:t>
            </w:r>
          </w:p>
        </w:tc>
        <w:tc>
          <w:tcPr>
            <w:tcW w:type="dxa" w:w="7040"/>
          </w:tcPr>
          <w:p>
            <w:r>
              <w:rPr>
                <w:rFonts w:ascii="Calibri" w:cs="Calibri" w:eastAsia="Calibri" w:hAnsi="Calibri"/>
                <w:b w:val="false"/>
                <w:bCs w:val="false"/>
                <w:sz w:val="20"/>
                <w:szCs w:val="20"/>
              </w:rPr>
              <w:t xml:space="preserve">Vuelve automáticamente a AdoptaFácil</w:t>
            </w:r>
          </w:p>
        </w:tc>
      </w:tr>
      <w:tr>
        <w:tc>
          <w:tcPr>
            <w:tcW w:type="dxa" w:w="2000"/>
          </w:tcPr>
          <w:p>
            <w:r>
              <w:rPr>
                <w:rFonts w:ascii="Calibri" w:cs="Calibri" w:eastAsia="Calibri" w:hAnsi="Calibri"/>
                <w:b w:val="false"/>
                <w:bCs w:val="false"/>
                <w:sz w:val="20"/>
                <w:szCs w:val="20"/>
              </w:rPr>
              <w:t xml:space="preserve">4</w:t>
            </w:r>
          </w:p>
        </w:tc>
        <w:tc>
          <w:tcPr>
            <w:tcW w:type="dxa" w:w="7040"/>
          </w:tcPr>
          <w:p>
            <w:r>
              <w:rPr>
                <w:rFonts w:ascii="Calibri" w:cs="Calibri" w:eastAsia="Calibri" w:hAnsi="Calibri"/>
                <w:b w:val="false"/>
                <w:bCs w:val="false"/>
                <w:sz w:val="20"/>
                <w:szCs w:val="20"/>
              </w:rPr>
              <w:t xml:space="preserve">Ve el estado "Cuenta conectada 🟢" en su perfil</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A partir de ahí, cada cobro se reparte automáticamente en el momento del pago: la comisión de AdoptaFácil se descuenta (campo marketplace_fee/application_fee de MercadoPago) y el resto llega directo a la cuenta de MercadoPago de la organización — sin pasar por AdoptaFácil, sin transferencia manual posterior, sin esperar aprobación de "Disbursements".</w:t>
      </w:r>
    </w:p>
    <w:p>
      <w:pPr>
        <w:pStyle w:val="Heading2"/>
        <w:spacing w:after="150" w:before="300"/>
      </w:pPr>
      <w:r>
        <w:rPr>
          <w:b/>
          <w:bCs/>
          <w:color w:val="1A1A1A"/>
          <w:sz w:val="24"/>
          <w:szCs w:val="24"/>
        </w:rPr>
        <w:t xml:space="preserve">3.2 Checkout API (formulario de pago embebido, sin redirección)</w:t>
      </w:r>
    </w:p>
    <w:p>
      <w:pPr>
        <w:spacing w:after="160"/>
      </w:pPr>
      <w:r>
        <w:rPr>
          <w:rFonts w:ascii="Calibri" w:cs="Calibri" w:eastAsia="Calibri" w:hAnsi="Calibri"/>
          <w:sz w:val="22"/>
          <w:szCs w:val="22"/>
        </w:rPr>
        <w:t xml:space="preserve">El cliente definió que el cobro se maneje con Checkout API en lugar de Checkout Pro. Esto cambia la experiencia del donante: en vez de salir hacia una página de MercadoPago, el formulario de tarjeta se muestra dentro del propio sitio de AdoptaFácil, usando los componentes oficiales de MercadoPago ("Checkout Bricks") para capturar la tarjeta de forma segura — el número de tarjeta nunca llega a los servidores de AdoptaFácil, se convierte en un token dentro del navegador del donante antes de enviarse.</w:t>
      </w:r>
    </w:p>
    <w:p>
      <w:pPr>
        <w:pStyle w:val="ListParagraph"/>
        <w:numPr>
          <w:ilvl w:val="0"/>
          <w:numId w:val="1"/>
        </w:numPr>
        <w:spacing w:after="100"/>
      </w:pPr>
      <w:r>
        <w:rPr>
          <w:rFonts w:ascii="Calibri" w:cs="Calibri" w:eastAsia="Calibri" w:hAnsi="Calibri"/>
          <w:b/>
          <w:bCs/>
          <w:sz w:val="22"/>
          <w:szCs w:val="22"/>
        </w:rPr>
        <w:t xml:space="preserve">Costo de este cambio: </w:t>
      </w:r>
      <w:r>
        <w:rPr>
          <w:rFonts w:ascii="Calibri" w:cs="Calibri" w:eastAsia="Calibri" w:hAnsi="Calibri"/>
          <w:sz w:val="22"/>
          <w:szCs w:val="22"/>
        </w:rPr>
        <w:t xml:space="preserve">el trabajo de redirección (ida y vuelta a MercadoPago) que se construyó y se probó en vivo esta misma semana queda obsoleto y se descarta. No fue tiempo perdido — confirmó que el cobro real funciona de punta a punta — pero esa pieza puntual no se reutiliza en el nuevo modelo.</w:t>
      </w:r>
    </w:p>
    <w:p>
      <w:pPr>
        <w:pStyle w:val="Heading1"/>
        <w:spacing w:after="200" w:before="400"/>
      </w:pPr>
      <w:r>
        <w:rPr>
          <w:b/>
          <w:bCs/>
          <w:color w:val="0F6B5C"/>
          <w:sz w:val="30"/>
          <w:szCs w:val="30"/>
        </w:rPr>
        <w:t xml:space="preserve">4. Qué se retira</w:t>
      </w:r>
    </w:p>
    <w:p>
      <w:pPr>
        <w:pStyle w:val="ListParagraph"/>
        <w:numPr>
          <w:ilvl w:val="0"/>
          <w:numId w:val="1"/>
        </w:numPr>
        <w:spacing w:after="100"/>
      </w:pPr>
      <w:r>
        <w:rPr>
          <w:rFonts w:ascii="Calibri" w:cs="Calibri" w:eastAsia="Calibri" w:hAnsi="Calibri"/>
          <w:sz w:val="22"/>
          <w:szCs w:val="22"/>
        </w:rPr>
        <w:t xml:space="preserve">El mecanismo de dispersión manual T+1 (createPayout) — ya no hace falta, MercadoPago paga directo a cada organización en el momento del cobro.</w:t>
      </w:r>
    </w:p>
    <w:p>
      <w:pPr>
        <w:pStyle w:val="ListParagraph"/>
        <w:numPr>
          <w:ilvl w:val="0"/>
          <w:numId w:val="1"/>
        </w:numPr>
        <w:spacing w:after="100"/>
      </w:pPr>
      <w:r>
        <w:rPr>
          <w:rFonts w:ascii="Calibri" w:cs="Calibri" w:eastAsia="Calibri" w:hAnsi="Calibri"/>
          <w:sz w:val="22"/>
          <w:szCs w:val="22"/>
        </w:rPr>
        <w:t xml:space="preserve">El formulario de "cuenta bancaria de destino" pierde su propósito actual (era el destino de la transferencia manual) — se reemplaza por la conexión de cuenta MercadoPago.</w:t>
      </w:r>
    </w:p>
    <w:p>
      <w:pPr>
        <w:pStyle w:val="ListParagraph"/>
        <w:numPr>
          <w:ilvl w:val="0"/>
          <w:numId w:val="1"/>
        </w:numPr>
        <w:spacing w:after="100"/>
      </w:pPr>
      <w:r>
        <w:rPr>
          <w:rFonts w:ascii="Calibri" w:cs="Calibri" w:eastAsia="Calibri" w:hAnsi="Calibri"/>
          <w:sz w:val="22"/>
          <w:szCs w:val="22"/>
        </w:rPr>
        <w:t xml:space="preserve">La redirección a MercadoPago y las páginas de retorno ("/donaciones/gracias", "/apadrinar/gracias") — se descartan al pasar a un formulario embebido.</w:t>
      </w:r>
    </w:p>
    <w:p>
      <w:pPr>
        <w:pStyle w:val="Heading1"/>
        <w:spacing w:after="200" w:before="400"/>
      </w:pPr>
      <w:r>
        <w:rPr>
          <w:b/>
          <w:bCs/>
          <w:color w:val="0F6B5C"/>
          <w:sz w:val="30"/>
          <w:szCs w:val="30"/>
        </w:rPr>
        <w:t xml:space="preserve">5. Decisiones que necesitamos que el cliente confirme</w:t>
      </w:r>
    </w:p>
    <w:p>
      <w:pPr>
        <w:spacing w:after="160"/>
      </w:pPr>
      <w:r>
        <w:rPr>
          <w:rFonts w:ascii="Calibri" w:cs="Calibri" w:eastAsia="Calibri" w:hAnsi="Calibri"/>
          <w:sz w:val="22"/>
          <w:szCs w:val="22"/>
        </w:rPr>
        <w:t xml:space="preserve">Antes de empezar a programar, para no tener que deshacer trabajo si la respuesta cambia el diseño:</w:t>
      </w:r>
    </w:p>
    <w:p>
      <w:pPr>
        <w:pStyle w:val="ListParagraph"/>
        <w:numPr>
          <w:ilvl w:val="0"/>
          <w:numId w:val="1"/>
        </w:numPr>
        <w:spacing w:after="100"/>
      </w:pPr>
      <w:r>
        <w:rPr>
          <w:rFonts w:ascii="Calibri" w:cs="Calibri" w:eastAsia="Calibri" w:hAnsi="Calibri"/>
          <w:b/>
          <w:bCs/>
          <w:sz w:val="22"/>
          <w:szCs w:val="22"/>
        </w:rPr>
        <w:t xml:space="preserve">1. API de Orders vs. API de Payments — </w:t>
      </w:r>
      <w:r>
        <w:rPr>
          <w:rFonts w:ascii="Calibri" w:cs="Calibri" w:eastAsia="Calibri" w:hAnsi="Calibri"/>
          <w:sz w:val="22"/>
          <w:szCs w:val="22"/>
        </w:rPr>
        <w:t xml:space="preserve">ambas de MercadoPago soportan Checkout API y el split de comisión. Nuestra recomendación es API de Orders (es la que MercadoPago preselecciona hoy como el camino más nuevo), salvo que el cliente tenga una preferencia distinta.</w:t>
      </w:r>
    </w:p>
    <w:p>
      <w:pPr>
        <w:pStyle w:val="ListParagraph"/>
        <w:numPr>
          <w:ilvl w:val="0"/>
          <w:numId w:val="1"/>
        </w:numPr>
        <w:spacing w:after="100"/>
      </w:pPr>
      <w:r>
        <w:rPr>
          <w:rFonts w:ascii="Calibri" w:cs="Calibri" w:eastAsia="Calibri" w:hAnsi="Calibri"/>
          <w:b/>
          <w:bCs/>
          <w:sz w:val="22"/>
          <w:szCs w:val="22"/>
        </w:rPr>
        <w:t xml:space="preserve">2. Tarifa de la plataforma — </w:t>
      </w:r>
      <w:r>
        <w:rPr>
          <w:rFonts w:ascii="Calibri" w:cs="Calibri" w:eastAsia="Calibri" w:hAnsi="Calibri"/>
          <w:sz w:val="22"/>
          <w:szCs w:val="22"/>
        </w:rPr>
        <w:t xml:space="preserve">sigue pendiente de que el cliente confirme la tarifa real que MercadoPago le asignó a su cuenta (ya solicitado); mientras tanto el sistema la deja configurable, no quemada en código.</w:t>
      </w:r>
    </w:p>
    <w:p>
      <w:pPr>
        <w:pStyle w:val="ListParagraph"/>
        <w:numPr>
          <w:ilvl w:val="0"/>
          <w:numId w:val="1"/>
        </w:numPr>
        <w:spacing w:after="100"/>
      </w:pPr>
      <w:r>
        <w:rPr>
          <w:rFonts w:ascii="Calibri" w:cs="Calibri" w:eastAsia="Calibri" w:hAnsi="Calibri"/>
          <w:b/>
          <w:bCs/>
          <w:sz w:val="22"/>
          <w:szCs w:val="22"/>
        </w:rPr>
        <w:t xml:space="preserve">3. Cuentas ya verificadas (KYC) — </w:t>
      </w:r>
      <w:r>
        <w:rPr>
          <w:rFonts w:ascii="Calibri" w:cs="Calibri" w:eastAsia="Calibri" w:hAnsi="Calibri"/>
          <w:sz w:val="22"/>
          <w:szCs w:val="22"/>
        </w:rPr>
        <w:t xml:space="preserve">la documentación de MercadoPago exige que la cuenta vendedora tenga cierto nivel de verificación de identidad para operar con Split 1:1. Cada organización que quiera conectar su cuenta va a necesitar tener su propia cuenta de MercadoPago verificada — esto es un paso que cada organización resuelve directamente con MercadoPago, fuera de AdoptaFácil.</w:t>
      </w:r>
    </w:p>
    <w:p>
      <w:pPr>
        <w:pStyle w:val="ListParagraph"/>
        <w:numPr>
          <w:ilvl w:val="0"/>
          <w:numId w:val="1"/>
        </w:numPr>
        <w:spacing w:after="100"/>
      </w:pPr>
      <w:r>
        <w:rPr>
          <w:rFonts w:ascii="Calibri" w:cs="Calibri" w:eastAsia="Calibri" w:hAnsi="Calibri"/>
          <w:b/>
          <w:bCs/>
          <w:sz w:val="22"/>
          <w:szCs w:val="22"/>
        </w:rPr>
        <w:t xml:space="preserve">4. Vigencia de la conexión — </w:t>
      </w:r>
      <w:r>
        <w:rPr>
          <w:rFonts w:ascii="Calibri" w:cs="Calibri" w:eastAsia="Calibri" w:hAnsi="Calibri"/>
          <w:sz w:val="22"/>
          <w:szCs w:val="22"/>
        </w:rPr>
        <w:t xml:space="preserve">la autorización de cada organización vence cada 6 meses y hay que renovarla (automáticamente cuando es posible, o pidiéndole a la organización que vuelva a conectar). El cliente debe saber que esto no es "conectar una sola vez para siempre".</w:t>
      </w:r>
    </w:p>
    <w:p>
      <w:pPr>
        <w:pStyle w:val="ListParagraph"/>
        <w:numPr>
          <w:ilvl w:val="0"/>
          <w:numId w:val="1"/>
        </w:numPr>
        <w:spacing w:after="100"/>
      </w:pPr>
      <w:r>
        <w:rPr>
          <w:rFonts w:ascii="Calibri" w:cs="Calibri" w:eastAsia="Calibri" w:hAnsi="Calibri"/>
          <w:b/>
          <w:bCs/>
          <w:sz w:val="22"/>
          <w:szCs w:val="22"/>
        </w:rPr>
        <w:t xml:space="preserve">5. Tipo de aplicación en MercadoPago — </w:t>
      </w:r>
      <w:r>
        <w:rPr>
          <w:rFonts w:ascii="Calibri" w:cs="Calibri" w:eastAsia="Calibri" w:hAnsi="Calibri"/>
          <w:sz w:val="22"/>
          <w:szCs w:val="22"/>
        </w:rPr>
        <w:t xml:space="preserve">ya se creó la aplicación en el panel de MercadoPago con Checkout API; falta confirmar si el modo "Marketplace" (necesario para conectar cuentas de otras organizaciones vía OAuth) se habilita en la misma pantalla o en una configuración aparte — esto se está verificando directamente en el panel del cliente.</w:t>
      </w:r>
    </w:p>
    <w:p>
      <w:pPr>
        <w:pStyle w:val="Heading1"/>
        <w:spacing w:after="200" w:before="400"/>
      </w:pPr>
      <w:r>
        <w:rPr>
          <w:b/>
          <w:bCs/>
          <w:color w:val="0F6B5C"/>
          <w:sz w:val="30"/>
          <w:szCs w:val="30"/>
        </w:rPr>
        <w:t xml:space="preserve">6. Alcance del trabajo (sin comprometer fechas)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40"/>
      </w:tblGrid>
      <w:tr>
        <w:tc>
          <w:tcPr>
            <w:tcW w:type="dxa" w:w="4500"/>
            <w:shd w:fill="EFEFEF" w:val="clear"/>
          </w:tcPr>
          <w:p>
            <w:r>
              <w:rPr>
                <w:rFonts w:ascii="Calibri" w:cs="Calibri" w:eastAsia="Calibri" w:hAnsi="Calibri"/>
                <w:b/>
                <w:bCs/>
                <w:sz w:val="20"/>
                <w:szCs w:val="20"/>
              </w:rPr>
              <w:t xml:space="preserve">Pieza</w:t>
            </w:r>
          </w:p>
        </w:tc>
        <w:tc>
          <w:tcPr>
            <w:tcW w:type="dxa" w:w="2500"/>
            <w:shd w:fill="EFEFEF" w:val="clear"/>
          </w:tcPr>
          <w:p>
            <w:r>
              <w:rPr>
                <w:rFonts w:ascii="Calibri" w:cs="Calibri" w:eastAsia="Calibri" w:hAnsi="Calibri"/>
                <w:b/>
                <w:bCs/>
                <w:sz w:val="20"/>
                <w:szCs w:val="20"/>
              </w:rPr>
              <w:t xml:space="preserve">Estado hoy</w:t>
            </w:r>
          </w:p>
        </w:tc>
        <w:tc>
          <w:tcPr>
            <w:tcW w:type="dxa" w:w="2040"/>
            <w:shd w:fill="EFEFEF" w:val="clear"/>
          </w:tcPr>
          <w:p>
            <w:r>
              <w:rPr>
                <w:rFonts w:ascii="Calibri" w:cs="Calibri" w:eastAsia="Calibri" w:hAnsi="Calibri"/>
                <w:b/>
                <w:bCs/>
                <w:sz w:val="20"/>
                <w:szCs w:val="20"/>
              </w:rPr>
              <w:t xml:space="preserve">Tamaño relativo</w:t>
            </w:r>
          </w:p>
        </w:tc>
      </w:tr>
      <w:tr>
        <w:tc>
          <w:tcPr>
            <w:tcW w:type="dxa" w:w="4500"/>
          </w:tcPr>
          <w:p>
            <w:r>
              <w:rPr>
                <w:rFonts w:ascii="Calibri" w:cs="Calibri" w:eastAsia="Calibri" w:hAnsi="Calibri"/>
                <w:b w:val="false"/>
                <w:bCs w:val="false"/>
                <w:sz w:val="20"/>
                <w:szCs w:val="20"/>
              </w:rPr>
              <w:t xml:space="preserve">Flujo OAuth (conectar cuenta MercadoPago por organización)</w:t>
            </w:r>
          </w:p>
        </w:tc>
        <w:tc>
          <w:tcPr>
            <w:tcW w:type="dxa" w:w="2500"/>
          </w:tcPr>
          <w:p>
            <w:r>
              <w:rPr>
                <w:rFonts w:ascii="Calibri" w:cs="Calibri" w:eastAsia="Calibri" w:hAnsi="Calibri"/>
                <w:b w:val="false"/>
                <w:bCs w:val="false"/>
                <w:sz w:val="20"/>
                <w:szCs w:val="20"/>
              </w:rPr>
              <w:t xml:space="preserve">0% construido</w:t>
            </w:r>
          </w:p>
        </w:tc>
        <w:tc>
          <w:tcPr>
            <w:tcW w:type="dxa" w:w="2040"/>
          </w:tcPr>
          <w:p>
            <w:r>
              <w:rPr>
                <w:rFonts w:ascii="Calibri" w:cs="Calibri" w:eastAsia="Calibri" w:hAnsi="Calibri"/>
                <w:b w:val="false"/>
                <w:bCs w:val="false"/>
                <w:sz w:val="20"/>
                <w:szCs w:val="20"/>
              </w:rPr>
              <w:t xml:space="preserve">Alto</w:t>
            </w:r>
          </w:p>
        </w:tc>
      </w:tr>
      <w:tr>
        <w:tc>
          <w:tcPr>
            <w:tcW w:type="dxa" w:w="4500"/>
          </w:tcPr>
          <w:p>
            <w:r>
              <w:rPr>
                <w:rFonts w:ascii="Calibri" w:cs="Calibri" w:eastAsia="Calibri" w:hAnsi="Calibri"/>
                <w:b w:val="false"/>
                <w:bCs w:val="false"/>
                <w:sz w:val="20"/>
                <w:szCs w:val="20"/>
              </w:rPr>
              <w:t xml:space="preserve">Formulario de tarjeta embebido (Checkout Bricks)</w:t>
            </w:r>
          </w:p>
        </w:tc>
        <w:tc>
          <w:tcPr>
            <w:tcW w:type="dxa" w:w="2500"/>
          </w:tcPr>
          <w:p>
            <w:r>
              <w:rPr>
                <w:rFonts w:ascii="Calibri" w:cs="Calibri" w:eastAsia="Calibri" w:hAnsi="Calibri"/>
                <w:b w:val="false"/>
                <w:bCs w:val="false"/>
                <w:sz w:val="20"/>
                <w:szCs w:val="20"/>
              </w:rPr>
              <w:t xml:space="preserve">0% construido</w:t>
            </w:r>
          </w:p>
        </w:tc>
        <w:tc>
          <w:tcPr>
            <w:tcW w:type="dxa" w:w="2040"/>
          </w:tcPr>
          <w:p>
            <w:r>
              <w:rPr>
                <w:rFonts w:ascii="Calibri" w:cs="Calibri" w:eastAsia="Calibri" w:hAnsi="Calibri"/>
                <w:b w:val="false"/>
                <w:bCs w:val="false"/>
                <w:sz w:val="20"/>
                <w:szCs w:val="20"/>
              </w:rPr>
              <w:t xml:space="preserve">Alto</w:t>
            </w:r>
          </w:p>
        </w:tc>
      </w:tr>
      <w:tr>
        <w:tc>
          <w:tcPr>
            <w:tcW w:type="dxa" w:w="4500"/>
          </w:tcPr>
          <w:p>
            <w:r>
              <w:rPr>
                <w:rFonts w:ascii="Calibri" w:cs="Calibri" w:eastAsia="Calibri" w:hAnsi="Calibri"/>
                <w:b w:val="false"/>
                <w:bCs w:val="false"/>
                <w:sz w:val="20"/>
                <w:szCs w:val="20"/>
              </w:rPr>
              <w:t xml:space="preserve">Backend: cobro vía Checkout API + reparto (marketplace_fee)</w:t>
            </w:r>
          </w:p>
        </w:tc>
        <w:tc>
          <w:tcPr>
            <w:tcW w:type="dxa" w:w="2500"/>
          </w:tcPr>
          <w:p>
            <w:r>
              <w:rPr>
                <w:rFonts w:ascii="Calibri" w:cs="Calibri" w:eastAsia="Calibri" w:hAnsi="Calibri"/>
                <w:b w:val="false"/>
                <w:bCs w:val="false"/>
                <w:sz w:val="20"/>
                <w:szCs w:val="20"/>
              </w:rPr>
              <w:t xml:space="preserve">Se reconstruye desde Checkout Pro</w:t>
            </w:r>
          </w:p>
        </w:tc>
        <w:tc>
          <w:tcPr>
            <w:tcW w:type="dxa" w:w="2040"/>
          </w:tcPr>
          <w:p>
            <w:r>
              <w:rPr>
                <w:rFonts w:ascii="Calibri" w:cs="Calibri" w:eastAsia="Calibri" w:hAnsi="Calibri"/>
                <w:b w:val="false"/>
                <w:bCs w:val="false"/>
                <w:sz w:val="20"/>
                <w:szCs w:val="20"/>
              </w:rPr>
              <w:t xml:space="preserve">Alto</w:t>
            </w:r>
          </w:p>
        </w:tc>
      </w:tr>
      <w:tr>
        <w:tc>
          <w:tcPr>
            <w:tcW w:type="dxa" w:w="4500"/>
          </w:tcPr>
          <w:p>
            <w:r>
              <w:rPr>
                <w:rFonts w:ascii="Calibri" w:cs="Calibri" w:eastAsia="Calibri" w:hAnsi="Calibri"/>
                <w:b w:val="false"/>
                <w:bCs w:val="false"/>
                <w:sz w:val="20"/>
                <w:szCs w:val="20"/>
              </w:rPr>
              <w:t xml:space="preserve">Guardado seguro de credenciales de MercadoPago por organización</w:t>
            </w:r>
          </w:p>
        </w:tc>
        <w:tc>
          <w:tcPr>
            <w:tcW w:type="dxa" w:w="2500"/>
          </w:tcPr>
          <w:p>
            <w:r>
              <w:rPr>
                <w:rFonts w:ascii="Calibri" w:cs="Calibri" w:eastAsia="Calibri" w:hAnsi="Calibri"/>
                <w:b w:val="false"/>
                <w:bCs w:val="false"/>
                <w:sz w:val="20"/>
                <w:szCs w:val="20"/>
              </w:rPr>
              <w:t xml:space="preserve">0% construido</w:t>
            </w:r>
          </w:p>
        </w:tc>
        <w:tc>
          <w:tcPr>
            <w:tcW w:type="dxa" w:w="2040"/>
          </w:tcPr>
          <w:p>
            <w:r>
              <w:rPr>
                <w:rFonts w:ascii="Calibri" w:cs="Calibri" w:eastAsia="Calibri" w:hAnsi="Calibri"/>
                <w:b w:val="false"/>
                <w:bCs w:val="false"/>
                <w:sz w:val="20"/>
                <w:szCs w:val="20"/>
              </w:rPr>
              <w:t xml:space="preserve">Medio</w:t>
            </w:r>
          </w:p>
        </w:tc>
      </w:tr>
      <w:tr>
        <w:tc>
          <w:tcPr>
            <w:tcW w:type="dxa" w:w="4500"/>
          </w:tcPr>
          <w:p>
            <w:r>
              <w:rPr>
                <w:rFonts w:ascii="Calibri" w:cs="Calibri" w:eastAsia="Calibri" w:hAnsi="Calibri"/>
                <w:b w:val="false"/>
                <w:bCs w:val="false"/>
                <w:sz w:val="20"/>
                <w:szCs w:val="20"/>
              </w:rPr>
              <w:t xml:space="preserve">Renovación automática de la conexión (cada 6 meses)</w:t>
            </w:r>
          </w:p>
        </w:tc>
        <w:tc>
          <w:tcPr>
            <w:tcW w:type="dxa" w:w="2500"/>
          </w:tcPr>
          <w:p>
            <w:r>
              <w:rPr>
                <w:rFonts w:ascii="Calibri" w:cs="Calibri" w:eastAsia="Calibri" w:hAnsi="Calibri"/>
                <w:b w:val="false"/>
                <w:bCs w:val="false"/>
                <w:sz w:val="20"/>
                <w:szCs w:val="20"/>
              </w:rPr>
              <w:t xml:space="preserve">0% construido</w:t>
            </w:r>
          </w:p>
        </w:tc>
        <w:tc>
          <w:tcPr>
            <w:tcW w:type="dxa" w:w="2040"/>
          </w:tcPr>
          <w:p>
            <w:r>
              <w:rPr>
                <w:rFonts w:ascii="Calibri" w:cs="Calibri" w:eastAsia="Calibri" w:hAnsi="Calibri"/>
                <w:b w:val="false"/>
                <w:bCs w:val="false"/>
                <w:sz w:val="20"/>
                <w:szCs w:val="20"/>
              </w:rPr>
              <w:t xml:space="preserve">Medio</w:t>
            </w:r>
          </w:p>
        </w:tc>
      </w:tr>
      <w:tr>
        <w:tc>
          <w:tcPr>
            <w:tcW w:type="dxa" w:w="4500"/>
          </w:tcPr>
          <w:p>
            <w:r>
              <w:rPr>
                <w:rFonts w:ascii="Calibri" w:cs="Calibri" w:eastAsia="Calibri" w:hAnsi="Calibri"/>
                <w:b w:val="false"/>
                <w:bCs w:val="false"/>
                <w:sz w:val="20"/>
                <w:szCs w:val="20"/>
              </w:rPr>
              <w:t xml:space="preserve">Retiro del flujo de dispersión manual y sus pantallas</w:t>
            </w:r>
          </w:p>
        </w:tc>
        <w:tc>
          <w:tcPr>
            <w:tcW w:type="dxa" w:w="2500"/>
          </w:tcPr>
          <w:p>
            <w:r>
              <w:rPr>
                <w:rFonts w:ascii="Calibri" w:cs="Calibri" w:eastAsia="Calibri" w:hAnsi="Calibri"/>
                <w:b w:val="false"/>
                <w:bCs w:val="false"/>
                <w:sz w:val="20"/>
                <w:szCs w:val="20"/>
              </w:rPr>
              <w:t xml:space="preserve">Construido, a desmontar</w:t>
            </w:r>
          </w:p>
        </w:tc>
        <w:tc>
          <w:tcPr>
            <w:tcW w:type="dxa" w:w="2040"/>
          </w:tcPr>
          <w:p>
            <w:r>
              <w:rPr>
                <w:rFonts w:ascii="Calibri" w:cs="Calibri" w:eastAsia="Calibri" w:hAnsi="Calibri"/>
                <w:b w:val="false"/>
                <w:bCs w:val="false"/>
                <w:sz w:val="20"/>
                <w:szCs w:val="20"/>
              </w:rPr>
              <w:t xml:space="preserve">Medio</w:t>
            </w:r>
          </w:p>
        </w:tc>
      </w:tr>
      <w:tr>
        <w:tc>
          <w:tcPr>
            <w:tcW w:type="dxa" w:w="4500"/>
          </w:tcPr>
          <w:p>
            <w:r>
              <w:rPr>
                <w:rFonts w:ascii="Calibri" w:cs="Calibri" w:eastAsia="Calibri" w:hAnsi="Calibri"/>
                <w:b w:val="false"/>
                <w:bCs w:val="false"/>
                <w:sz w:val="20"/>
                <w:szCs w:val="20"/>
              </w:rPr>
              <w:t xml:space="preserve">Tarifa de plataforma configurable</w:t>
            </w:r>
          </w:p>
        </w:tc>
        <w:tc>
          <w:tcPr>
            <w:tcW w:type="dxa" w:w="2500"/>
          </w:tcPr>
          <w:p>
            <w:r>
              <w:rPr>
                <w:rFonts w:ascii="Calibri" w:cs="Calibri" w:eastAsia="Calibri" w:hAnsi="Calibri"/>
                <w:b w:val="false"/>
                <w:bCs w:val="false"/>
                <w:sz w:val="20"/>
                <w:szCs w:val="20"/>
              </w:rPr>
              <w:t xml:space="preserve">Hoy quemada en código</w:t>
            </w:r>
          </w:p>
        </w:tc>
        <w:tc>
          <w:tcPr>
            <w:tcW w:type="dxa" w:w="2040"/>
          </w:tcPr>
          <w:p>
            <w:r>
              <w:rPr>
                <w:rFonts w:ascii="Calibri" w:cs="Calibri" w:eastAsia="Calibri" w:hAnsi="Calibri"/>
                <w:b w:val="false"/>
                <w:bCs w:val="false"/>
                <w:sz w:val="20"/>
                <w:szCs w:val="20"/>
              </w:rPr>
              <w:t xml:space="preserve">Bajo</w:t>
            </w:r>
          </w:p>
        </w:tc>
      </w:tr>
    </w:tbl>
    <w:p>
      <w:pPr>
        <w:pStyle w:val="Heading1"/>
        <w:spacing w:after="200" w:before="400"/>
      </w:pPr>
      <w:r>
        <w:rPr>
          <w:b/>
          <w:bCs/>
          <w:color w:val="0F6B5C"/>
          <w:sz w:val="30"/>
          <w:szCs w:val="30"/>
        </w:rPr>
        <w:t xml:space="preserve">7. Próximo paso</w:t>
      </w:r>
    </w:p>
    <w:p>
      <w:pPr>
        <w:spacing w:after="160"/>
      </w:pPr>
      <w:r>
        <w:rPr>
          <w:rFonts w:ascii="Calibri" w:cs="Calibri" w:eastAsia="Calibri" w:hAnsi="Calibri"/>
          <w:sz w:val="22"/>
          <w:szCs w:val="22"/>
        </w:rPr>
        <w:t xml:space="preserve">Con la confirmación del cliente sobre los 5 puntos de la sección 5, el equipo arranca la reconstrucción del módulo de pagos (donaciones y apadrinamientos) sobre esta base. Cualquier ajuste posterior a estas decisiones puede implicar repetir partes del trabajo, por eso se pide la validación antes de empezar.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Página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de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5B5B"/>
        <w:sz w:val="16"/>
        <w:szCs w:val="16"/>
      </w:rPr>
      <w:t xml:space="preserve">AdoptaFácil — Pagos y Split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2026-09-30T15:22:47.858Z</dcterms:created>
  <dcterms:modified xsi:type="dcterms:W3CDTF">2026-09-30T15:22:47.859Z</dcterms:modified>
</cp:coreProperties>
</file>

<file path=docProps/custom.xml><?xml version="1.0" encoding="utf-8"?>
<Properties xmlns="http://schemas.openxmlformats.org/officeDocument/2006/custom-properties" xmlns:vt="http://schemas.openxmlformats.org/officeDocument/2006/docPropsVTypes"/>
</file>