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286000" cy="496957"/>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496957"/>
                    </a:xfrm>
                    <a:prstGeom prst="rect"/>
                  </pic:spPr>
                </pic:pic>
              </a:graphicData>
            </a:graphic>
          </wp:inline>
        </w:drawing>
      </w:r>
    </w:p>
    <w:p/>
    <w:p>
      <w:pPr>
        <w:pBdr>
          <w:bottom w:val="single" w:sz="6" w:space="1" w:color="2E7D32"/>
        </w:pBdr>
      </w:pPr>
    </w:p>
    <w:p>
      <w:pPr>
        <w:jc w:val="left"/>
      </w:pPr>
      <w:r>
        <w:rPr>
          <w:rFonts w:ascii="Calibri" w:hAnsi="Calibri"/>
          <w:b/>
          <w:color w:val="1B5E20"/>
          <w:sz w:val="40"/>
        </w:rPr>
        <w:t>Capacidades de Monitoreo Satelital</w:t>
      </w:r>
    </w:p>
    <w:p>
      <w:pPr>
        <w:jc w:val="left"/>
      </w:pPr>
      <w:r>
        <w:rPr>
          <w:rFonts w:ascii="Calibri" w:hAnsi="Calibri"/>
          <w:i/>
          <w:color w:val="4CAF50"/>
          <w:sz w:val="26"/>
        </w:rPr>
        <w:t>Apoyo técnico para proyectos de restauración ecológica y sistemas agroforestales</w:t>
      </w:r>
    </w:p>
    <w:p>
      <w:pPr>
        <w:pBdr>
          <w:bottom w:val="single" w:sz="6" w:space="1" w:color="2E7D32"/>
        </w:pBdr>
      </w:pPr>
    </w:p>
    <w:p/>
    <w:p>
      <w:pPr>
        <w:pStyle w:val="Heading1"/>
      </w:pPr>
      <w:r>
        <w:rPr>
          <w:color w:val="1B5E20"/>
        </w:rPr>
        <w:t>¿Qué es AgroTech?</w:t>
      </w:r>
    </w:p>
    <w:p>
      <w:pPr/>
      <w:r>
        <w:rPr>
          <w:rFonts w:ascii="Calibri" w:hAnsi="Calibri"/>
          <w:sz w:val="22"/>
        </w:rPr>
        <w:t>AgroTech es una solución de monitoreo satelital que transforma imágenes en información útil para la toma de decisiones en proyectos agrícolas, ambientales, de restauración ecológica y sistemas agroforestales.</w:t>
      </w:r>
    </w:p>
    <w:p>
      <w:pPr/>
      <w:r>
        <w:rPr>
          <w:rFonts w:ascii="Calibri" w:hAnsi="Calibri"/>
          <w:sz w:val="22"/>
        </w:rPr>
        <w:t>No nos limitamos a entregar mapas: realizamos interpretación técnica personalizada para comprender el comportamiento del terreno, la evolución de la vegetación y los cambios ocurridos a través del tiempo.</w:t>
      </w:r>
    </w:p>
    <w:p/>
    <w:p>
      <w:pPr>
        <w:pStyle w:val="Heading1"/>
      </w:pPr>
      <w:r>
        <w:rPr>
          <w:color w:val="1B5E20"/>
        </w:rPr>
        <w:t>Servicios disponibles</w:t>
      </w:r>
    </w:p>
    <w:p>
      <w:pPr>
        <w:pStyle w:val="ListBullet"/>
      </w:pPr>
      <w:r>
        <w:rPr>
          <w:rFonts w:ascii="Calibri" w:hAnsi="Calibri"/>
          <w:sz w:val="22"/>
        </w:rPr>
        <w:t>Monitoreo satelital sobre áreas de interés (AOI)</w:t>
      </w:r>
    </w:p>
    <w:p>
      <w:pPr>
        <w:pStyle w:val="ListBullet"/>
      </w:pPr>
      <w:r>
        <w:rPr>
          <w:rFonts w:ascii="Calibri" w:hAnsi="Calibri"/>
          <w:sz w:val="22"/>
        </w:rPr>
        <w:t>Informes históricos de evolución del terreno</w:t>
      </w:r>
    </w:p>
    <w:p>
      <w:pPr>
        <w:pStyle w:val="ListBullet"/>
      </w:pPr>
      <w:r>
        <w:rPr>
          <w:rFonts w:ascii="Calibri" w:hAnsi="Calibri"/>
          <w:sz w:val="22"/>
        </w:rPr>
        <w:t>Interpretación técnica personalizada de imágenes satelitales</w:t>
      </w:r>
    </w:p>
    <w:p>
      <w:pPr>
        <w:pStyle w:val="ListBullet"/>
      </w:pPr>
      <w:r>
        <w:rPr>
          <w:rFonts w:ascii="Calibri" w:hAnsi="Calibri"/>
          <w:sz w:val="22"/>
        </w:rPr>
        <w:t>Seguimiento de proyectos de reforestación y restauración ecológica</w:t>
      </w:r>
    </w:p>
    <w:p>
      <w:pPr>
        <w:pStyle w:val="ListBullet"/>
      </w:pPr>
      <w:r>
        <w:rPr>
          <w:rFonts w:ascii="Calibri" w:hAnsi="Calibri"/>
          <w:sz w:val="22"/>
        </w:rPr>
        <w:t>Análisis de cobertura vegetal y cambios temporales</w:t>
      </w:r>
    </w:p>
    <w:p>
      <w:pPr>
        <w:pStyle w:val="ListBullet"/>
      </w:pPr>
      <w:r>
        <w:rPr>
          <w:rFonts w:ascii="Calibri" w:hAnsi="Calibri"/>
          <w:sz w:val="22"/>
        </w:rPr>
        <w:t>Reportes técnicos estructurados para apoyar la toma de decisiones</w:t>
      </w:r>
    </w:p>
    <w:p>
      <w:pPr>
        <w:pStyle w:val="ListBullet"/>
      </w:pPr>
      <w:r>
        <w:rPr>
          <w:rFonts w:ascii="Calibri" w:hAnsi="Calibri"/>
          <w:sz w:val="22"/>
        </w:rPr>
        <w:t>Análisis sobre polígonos suministrados por el cliente</w:t>
      </w:r>
    </w:p>
    <w:p/>
    <w:p>
      <w:pPr>
        <w:pStyle w:val="Heading1"/>
      </w:pPr>
      <w:r>
        <w:rPr>
          <w:color w:val="1B5E20"/>
        </w:rPr>
        <w:t>Alcance técnico</w:t>
      </w:r>
    </w:p>
    <w:p>
      <w:r>
        <w:rPr>
          <w:rFonts w:ascii="Calibri" w:hAnsi="Calibri"/>
          <w:b/>
          <w:sz w:val="22"/>
        </w:rPr>
        <w:t xml:space="preserve">Resolución espacial: </w:t>
      </w:r>
      <w:r>
        <w:rPr>
          <w:rFonts w:ascii="Calibri" w:hAnsi="Calibri"/>
          <w:b/>
          <w:color w:val="1B5E20"/>
          <w:sz w:val="22"/>
        </w:rPr>
        <w:t>10 × 10 metros por píxel</w:t>
      </w:r>
      <w:r>
        <w:rPr>
          <w:rFonts w:ascii="Calibri" w:hAnsi="Calibri"/>
          <w:sz w:val="22"/>
        </w:rPr>
        <w:t xml:space="preserve"> para las bandas empleadas en el análisis de la vegetación.</w:t>
      </w:r>
    </w:p>
    <w:p>
      <w:r>
        <w:rPr>
          <w:rFonts w:ascii="Calibri" w:hAnsi="Calibri"/>
          <w:sz w:val="22"/>
        </w:rPr>
        <w:t xml:space="preserve">Esto significa que </w:t>
      </w:r>
      <w:r>
        <w:rPr>
          <w:rFonts w:ascii="Calibri" w:hAnsi="Calibri"/>
          <w:b/>
          <w:sz w:val="22"/>
        </w:rPr>
        <w:t xml:space="preserve">cada píxel representa un área de 100 m² (10 × 10 m) </w:t>
      </w:r>
      <w:r>
        <w:rPr>
          <w:rFonts w:ascii="Calibri" w:hAnsi="Calibri"/>
          <w:sz w:val="22"/>
        </w:rPr>
        <w:t>sobre el terreno.</w:t>
      </w:r>
    </w:p>
    <w:p/>
    <w:p>
      <w:r>
        <w:rPr>
          <w:rFonts w:ascii="Calibri" w:hAnsi="Calibri"/>
          <w:b/>
          <w:sz w:val="22"/>
        </w:rPr>
        <w:t>Esta resolución permite:</w:t>
      </w:r>
    </w:p>
    <w:p>
      <w:pPr>
        <w:pStyle w:val="ListBullet"/>
      </w:pPr>
      <w:r>
        <w:rPr>
          <w:rFonts w:ascii="Calibri" w:hAnsi="Calibri"/>
          <w:sz w:val="22"/>
        </w:rPr>
        <w:t>Evaluar de manera eficiente grandes extensiones de terreno.</w:t>
      </w:r>
    </w:p>
    <w:p>
      <w:pPr>
        <w:pStyle w:val="ListBullet"/>
      </w:pPr>
      <w:r>
        <w:rPr>
          <w:rFonts w:ascii="Calibri" w:hAnsi="Calibri"/>
          <w:sz w:val="22"/>
        </w:rPr>
        <w:t>Identificar cambios en la cobertura vegetal a escala de lote o predio.</w:t>
      </w:r>
    </w:p>
    <w:p>
      <w:pPr>
        <w:pStyle w:val="ListBullet"/>
      </w:pPr>
      <w:r>
        <w:rPr>
          <w:rFonts w:ascii="Calibri" w:hAnsi="Calibri"/>
          <w:sz w:val="22"/>
        </w:rPr>
        <w:t>Realizar seguimiento temporal (histórico) de las áreas de interés.</w:t>
      </w:r>
    </w:p>
    <w:p>
      <w:pPr>
        <w:pStyle w:val="ListBullet"/>
      </w:pPr>
      <w:r>
        <w:rPr>
          <w:rFonts w:ascii="Calibri" w:hAnsi="Calibri"/>
          <w:sz w:val="22"/>
        </w:rPr>
        <w:t>Apoyar la planificación, el monitoreo y la evaluación de proyectos agrícolas, forestales y ambientales.</w:t>
      </w:r>
    </w:p>
    <w:p/>
    <w:p>
      <w:pPr>
        <w:pBdr>
          <w:left w:val="single" w:sz="12" w:space="8" w:color="4CAF50"/>
        </w:pBdr>
      </w:pPr>
      <w:r>
        <w:rPr>
          <w:rFonts w:ascii="Calibri" w:hAnsi="Calibri"/>
          <w:i/>
          <w:color w:val="555555"/>
          <w:sz w:val="20"/>
        </w:rPr>
        <w:t>La interpretación técnica que realizamos es lo que convierte los datos crudos del satélite en información accionable. Un mismo valor de NDVI tiene implicaciones distintas según el tipo de vegetación, la etapa fenológica y las condiciones climáticas de la zona.</w:t>
      </w:r>
    </w:p>
    <w:p/>
    <w:p>
      <w:pPr>
        <w:pStyle w:val="Heading1"/>
      </w:pPr>
      <w:r>
        <w:rPr>
          <w:color w:val="1B5E20"/>
        </w:rPr>
        <w:t>Variables e índices analizados</w:t>
      </w:r>
    </w:p>
    <w:p>
      <w:pPr/>
      <w:r>
        <w:rPr>
          <w:rFonts w:ascii="Calibri" w:hAnsi="Calibri"/>
          <w:sz w:val="22"/>
        </w:rPr>
        <w:t>Con estos análisis es posible evaluar la salud vegetal, el comportamiento hídrico, la evolución de coberturas, el seguimiento de procesos de reforestación, la identificación de cambios en el territorio y la priorización de sectores que requieren inspección en campo.</w:t>
      </w:r>
    </w:p>
    <w:p/>
    <w:tbl>
      <w:tblPr>
        <w:tblStyle w:val="TableGrid"/>
        <w:tblW w:type="auto" w:w="0"/>
        <w:jc w:val="center"/>
        <w:tblLook w:firstColumn="1" w:firstRow="1" w:lastColumn="0" w:lastRow="0" w:noHBand="0" w:noVBand="1" w:val="04A0"/>
      </w:tblPr>
      <w:tblGrid>
        <w:gridCol w:w="3135"/>
        <w:gridCol w:w="3135"/>
        <w:gridCol w:w="3135"/>
      </w:tblGrid>
      <w:tr>
        <w:tc>
          <w:tcPr>
            <w:tcW w:type="dxa" w:w="1020"/>
            <w:shd w:fill="2E7D32" w:val="clear"/>
          </w:tcPr>
          <w:p>
            <w:pPr>
              <w:jc w:val="center"/>
            </w:pPr>
            <w:r/>
            <w:r>
              <w:rPr>
                <w:rFonts w:ascii="Calibri" w:hAnsi="Calibri"/>
                <w:b/>
                <w:color w:val="FFFFFF"/>
                <w:sz w:val="20"/>
              </w:rPr>
              <w:t>Índice</w:t>
            </w:r>
          </w:p>
        </w:tc>
        <w:tc>
          <w:tcPr>
            <w:tcW w:type="dxa" w:w="2551"/>
            <w:shd w:fill="2E7D32" w:val="clear"/>
          </w:tcPr>
          <w:p>
            <w:pPr>
              <w:jc w:val="center"/>
            </w:pPr>
            <w:r/>
            <w:r>
              <w:rPr>
                <w:rFonts w:ascii="Calibri" w:hAnsi="Calibri"/>
                <w:b/>
                <w:color w:val="FFFFFF"/>
                <w:sz w:val="20"/>
              </w:rPr>
              <w:t>¿Qué mide?</w:t>
            </w:r>
          </w:p>
        </w:tc>
        <w:tc>
          <w:tcPr>
            <w:tcW w:type="dxa" w:w="5669"/>
            <w:shd w:fill="2E7D32" w:val="clear"/>
          </w:tcPr>
          <w:p>
            <w:pPr>
              <w:jc w:val="center"/>
            </w:pPr>
            <w:r/>
            <w:r>
              <w:rPr>
                <w:rFonts w:ascii="Calibri" w:hAnsi="Calibri"/>
                <w:b/>
                <w:color w:val="FFFFFF"/>
                <w:sz w:val="20"/>
              </w:rPr>
              <w:t>¿Para qué sirve?</w:t>
            </w:r>
          </w:p>
        </w:tc>
      </w:tr>
      <w:tr>
        <w:tc>
          <w:tcPr>
            <w:tcW w:type="dxa" w:w="1020"/>
            <w:shd w:fill="E8F5E9" w:val="clear"/>
          </w:tcPr>
          <w:p>
            <w:pPr>
              <w:jc w:val="center"/>
            </w:pPr>
            <w:r/>
            <w:r>
              <w:rPr>
                <w:rFonts w:ascii="Calibri" w:hAnsi="Calibri"/>
                <w:b/>
                <w:sz w:val="20"/>
              </w:rPr>
              <w:t>NDVI</w:t>
            </w:r>
          </w:p>
        </w:tc>
        <w:tc>
          <w:tcPr>
            <w:tcW w:type="dxa" w:w="2551"/>
          </w:tcPr>
          <w:p>
            <w:r/>
            <w:r>
              <w:rPr>
                <w:rFonts w:ascii="Calibri" w:hAnsi="Calibri"/>
                <w:sz w:val="20"/>
              </w:rPr>
              <w:t>Vigor y densidad de la vegetación</w:t>
            </w:r>
          </w:p>
        </w:tc>
        <w:tc>
          <w:tcPr>
            <w:tcW w:type="dxa" w:w="5669"/>
          </w:tcPr>
          <w:p>
            <w:r/>
            <w:r>
              <w:rPr>
                <w:rFonts w:ascii="Calibri" w:hAnsi="Calibri"/>
                <w:sz w:val="20"/>
              </w:rPr>
              <w:t>Evaluar estado general de cultivos, pastos y bosques. Detectar pérdida de cobertura.</w:t>
            </w:r>
          </w:p>
        </w:tc>
      </w:tr>
      <w:tr>
        <w:tc>
          <w:tcPr>
            <w:tcW w:type="dxa" w:w="1020"/>
            <w:shd w:fill="E8F5E9" w:val="clear"/>
          </w:tcPr>
          <w:p>
            <w:pPr>
              <w:jc w:val="center"/>
            </w:pPr>
            <w:r/>
            <w:r>
              <w:rPr>
                <w:rFonts w:ascii="Calibri" w:hAnsi="Calibri"/>
                <w:b/>
                <w:sz w:val="20"/>
              </w:rPr>
              <w:t>NDMI</w:t>
            </w:r>
          </w:p>
        </w:tc>
        <w:tc>
          <w:tcPr>
            <w:tcW w:type="dxa" w:w="2551"/>
          </w:tcPr>
          <w:p>
            <w:r/>
            <w:r>
              <w:rPr>
                <w:rFonts w:ascii="Calibri" w:hAnsi="Calibri"/>
                <w:sz w:val="20"/>
              </w:rPr>
              <w:t>Contenido de humedad en la vegetación</w:t>
            </w:r>
          </w:p>
        </w:tc>
        <w:tc>
          <w:tcPr>
            <w:tcW w:type="dxa" w:w="5669"/>
          </w:tcPr>
          <w:p>
            <w:r/>
            <w:r>
              <w:rPr>
                <w:rFonts w:ascii="Calibri" w:hAnsi="Calibri"/>
                <w:sz w:val="20"/>
              </w:rPr>
              <w:t>Identificar estrés hídrico, zonas secas, necesidad de riego.</w:t>
            </w:r>
          </w:p>
        </w:tc>
      </w:tr>
      <w:tr>
        <w:tc>
          <w:tcPr>
            <w:tcW w:type="dxa" w:w="1020"/>
            <w:shd w:fill="E8F5E9" w:val="clear"/>
          </w:tcPr>
          <w:p>
            <w:pPr>
              <w:jc w:val="center"/>
            </w:pPr>
            <w:r/>
            <w:r>
              <w:rPr>
                <w:rFonts w:ascii="Calibri" w:hAnsi="Calibri"/>
                <w:b/>
                <w:sz w:val="20"/>
              </w:rPr>
              <w:t>EVI</w:t>
            </w:r>
          </w:p>
        </w:tc>
        <w:tc>
          <w:tcPr>
            <w:tcW w:type="dxa" w:w="2551"/>
          </w:tcPr>
          <w:p>
            <w:r/>
            <w:r>
              <w:rPr>
                <w:rFonts w:ascii="Calibri" w:hAnsi="Calibri"/>
                <w:sz w:val="20"/>
              </w:rPr>
              <w:t>Vegetación en zonas de alta biomasa</w:t>
            </w:r>
          </w:p>
        </w:tc>
        <w:tc>
          <w:tcPr>
            <w:tcW w:type="dxa" w:w="5669"/>
          </w:tcPr>
          <w:p>
            <w:r/>
            <w:r>
              <w:rPr>
                <w:rFonts w:ascii="Calibri" w:hAnsi="Calibri"/>
                <w:sz w:val="20"/>
              </w:rPr>
              <w:t>Analizar bosques densos y cultivos vigorosos donde el NDVI se satura.</w:t>
            </w:r>
          </w:p>
        </w:tc>
      </w:tr>
      <w:tr>
        <w:tc>
          <w:tcPr>
            <w:tcW w:type="dxa" w:w="1020"/>
            <w:shd w:fill="E8F5E9" w:val="clear"/>
          </w:tcPr>
          <w:p>
            <w:pPr>
              <w:jc w:val="center"/>
            </w:pPr>
            <w:r/>
            <w:r>
              <w:rPr>
                <w:rFonts w:ascii="Calibri" w:hAnsi="Calibri"/>
                <w:b/>
                <w:sz w:val="20"/>
              </w:rPr>
              <w:t>SAVI</w:t>
            </w:r>
          </w:p>
        </w:tc>
        <w:tc>
          <w:tcPr>
            <w:tcW w:type="dxa" w:w="2551"/>
          </w:tcPr>
          <w:p>
            <w:r/>
            <w:r>
              <w:rPr>
                <w:rFonts w:ascii="Calibri" w:hAnsi="Calibri"/>
                <w:sz w:val="20"/>
              </w:rPr>
              <w:t>Vegetación en zonas con suelo expuesto</w:t>
            </w:r>
          </w:p>
        </w:tc>
        <w:tc>
          <w:tcPr>
            <w:tcW w:type="dxa" w:w="5669"/>
          </w:tcPr>
          <w:p>
            <w:r/>
            <w:r>
              <w:rPr>
                <w:rFonts w:ascii="Calibri" w:hAnsi="Calibri"/>
                <w:sz w:val="20"/>
              </w:rPr>
              <w:t>Evaluar zonas recién intervenidas o con poca cobertura, donde el suelo influye en la lectura.</w:t>
            </w:r>
          </w:p>
        </w:tc>
      </w:tr>
      <w:tr>
        <w:tc>
          <w:tcPr>
            <w:tcW w:type="dxa" w:w="1020"/>
            <w:shd w:fill="E8F5E9" w:val="clear"/>
          </w:tcPr>
          <w:p>
            <w:pPr>
              <w:jc w:val="center"/>
            </w:pPr>
            <w:r/>
            <w:r>
              <w:rPr>
                <w:rFonts w:ascii="Calibri" w:hAnsi="Calibri"/>
                <w:b/>
                <w:sz w:val="20"/>
              </w:rPr>
              <w:t>NDRE</w:t>
            </w:r>
          </w:p>
        </w:tc>
        <w:tc>
          <w:tcPr>
            <w:tcW w:type="dxa" w:w="2551"/>
          </w:tcPr>
          <w:p>
            <w:r/>
            <w:r>
              <w:rPr>
                <w:rFonts w:ascii="Calibri" w:hAnsi="Calibri"/>
                <w:sz w:val="20"/>
              </w:rPr>
              <w:t>Contenido de clorofila en hojas</w:t>
            </w:r>
          </w:p>
        </w:tc>
        <w:tc>
          <w:tcPr>
            <w:tcW w:type="dxa" w:w="5669"/>
          </w:tcPr>
          <w:p>
            <w:r/>
            <w:r>
              <w:rPr>
                <w:rFonts w:ascii="Calibri" w:hAnsi="Calibri"/>
                <w:sz w:val="20"/>
              </w:rPr>
              <w:t>Detectar estrés nutricional temprano, antes de que sea visible al ojo humano.</w:t>
            </w:r>
          </w:p>
        </w:tc>
      </w:tr>
    </w:tbl>
    <w:p/>
    <w:p>
      <w:r>
        <w:br w:type="page"/>
      </w:r>
    </w:p>
    <w:p>
      <w:pPr>
        <w:pBdr>
          <w:bottom w:val="single" w:sz="6" w:space="1" w:color="2E7D32"/>
        </w:pBdr>
      </w:pPr>
    </w:p>
    <w:p>
      <w:pPr>
        <w:jc w:val="left"/>
      </w:pPr>
      <w:r>
        <w:rPr>
          <w:rFonts w:ascii="Calibri" w:hAnsi="Calibri"/>
          <w:b/>
          <w:color w:val="1B5E20"/>
          <w:sz w:val="36"/>
        </w:rPr>
        <w:t>Análisis de Requerimientos y Propuesta Técnica</w:t>
      </w:r>
    </w:p>
    <w:p>
      <w:pPr>
        <w:jc w:val="left"/>
      </w:pPr>
      <w:r>
        <w:rPr>
          <w:rFonts w:ascii="Calibri" w:hAnsi="Calibri"/>
          <w:color w:val="4CAF50"/>
          <w:sz w:val="24"/>
        </w:rPr>
        <w:t>Proyecto: Rehabilitación ecológica y sistemas agroforestales — Vista Hermosa y La Macarena, Meta</w:t>
      </w:r>
    </w:p>
    <w:p>
      <w:pPr>
        <w:pBdr>
          <w:bottom w:val="single" w:sz="6" w:space="1" w:color="2E7D32"/>
        </w:pBdr>
      </w:pPr>
    </w:p>
    <w:p/>
    <w:p>
      <w:pPr>
        <w:pStyle w:val="Heading1"/>
      </w:pPr>
      <w:r>
        <w:rPr>
          <w:color w:val="1B5E20"/>
        </w:rPr>
        <w:t>1. Resumen de los requerimientos recibidos</w:t>
      </w:r>
    </w:p>
    <w:p>
      <w:pPr/>
      <w:r>
        <w:rPr>
          <w:rFonts w:ascii="Calibri" w:hAnsi="Calibri"/>
          <w:sz w:val="22"/>
        </w:rPr>
        <w:t>Con base en los términos de referencia suministrados, los requerimientos del proyecto se resumen en los siguientes puntos:</w:t>
      </w:r>
    </w:p>
    <w:p/>
    <w:p>
      <w:r>
        <w:rPr>
          <w:rFonts w:ascii="Calibri" w:hAnsi="Calibri"/>
          <w:b/>
          <w:sz w:val="22"/>
        </w:rPr>
        <w:t xml:space="preserve">Objeto: </w:t>
      </w:r>
      <w:r>
        <w:rPr>
          <w:rFonts w:ascii="Calibri" w:hAnsi="Calibri"/>
          <w:sz w:val="22"/>
        </w:rPr>
        <w:t>Adquisición de imágenes satelitales de muy alta resolución (0.3 m) para apoyo en levantamiento y delimitación de predios.</w:t>
      </w:r>
    </w:p>
    <w:p>
      <w:r>
        <w:rPr>
          <w:rFonts w:ascii="Calibri" w:hAnsi="Calibri"/>
          <w:b/>
          <w:sz w:val="22"/>
        </w:rPr>
        <w:t xml:space="preserve">Área total: </w:t>
      </w:r>
      <w:r>
        <w:rPr>
          <w:rFonts w:ascii="Calibri" w:hAnsi="Calibri"/>
          <w:sz w:val="22"/>
        </w:rPr>
        <w:t>735 hectáreas (550 ha rehabilitación ecológica + 185 ha sistemas agroforestales).</w:t>
      </w:r>
    </w:p>
    <w:p>
      <w:r>
        <w:rPr>
          <w:rFonts w:ascii="Calibri" w:hAnsi="Calibri"/>
          <w:b/>
          <w:sz w:val="22"/>
        </w:rPr>
        <w:t xml:space="preserve">Ubicación: </w:t>
      </w:r>
      <w:r>
        <w:rPr>
          <w:rFonts w:ascii="Calibri" w:hAnsi="Calibri"/>
          <w:sz w:val="22"/>
        </w:rPr>
        <w:t>Vista Hermosa y La Macarena, departamento del Meta.</w:t>
      </w:r>
    </w:p>
    <w:p>
      <w:r>
        <w:rPr>
          <w:rFonts w:ascii="Calibri" w:hAnsi="Calibri"/>
          <w:b/>
          <w:sz w:val="22"/>
        </w:rPr>
        <w:t xml:space="preserve">Resolución requerida: </w:t>
      </w:r>
      <w:r>
        <w:rPr>
          <w:rFonts w:ascii="Calibri" w:hAnsi="Calibri"/>
          <w:sz w:val="22"/>
        </w:rPr>
        <w:t>0.3 metros pancromática, multiespectral acorde, pan-sharpened.</w:t>
      </w:r>
    </w:p>
    <w:p>
      <w:r>
        <w:rPr>
          <w:rFonts w:ascii="Calibri" w:hAnsi="Calibri"/>
          <w:b/>
          <w:sz w:val="22"/>
        </w:rPr>
        <w:t xml:space="preserve">Procesamiento: </w:t>
      </w:r>
      <w:r>
        <w:rPr>
          <w:rFonts w:ascii="Calibri" w:hAnsi="Calibri"/>
          <w:sz w:val="22"/>
        </w:rPr>
        <w:t>Ortorrectificación, corrección radiométrica, corrección atmosférica, máscara de nubes.</w:t>
      </w:r>
    </w:p>
    <w:p>
      <w:r>
        <w:rPr>
          <w:rFonts w:ascii="Calibri" w:hAnsi="Calibri"/>
          <w:b/>
          <w:sz w:val="22"/>
        </w:rPr>
        <w:t xml:space="preserve">Sistema de referencia: </w:t>
      </w:r>
      <w:r>
        <w:rPr>
          <w:rFonts w:ascii="Calibri" w:hAnsi="Calibri"/>
          <w:sz w:val="22"/>
        </w:rPr>
        <w:t>MAGNA-SIRGAS origen nacional, proyección UTM.</w:t>
      </w:r>
    </w:p>
    <w:p>
      <w:r>
        <w:rPr>
          <w:rFonts w:ascii="Calibri" w:hAnsi="Calibri"/>
          <w:b/>
          <w:sz w:val="22"/>
        </w:rPr>
        <w:t xml:space="preserve">Formato: </w:t>
      </w:r>
      <w:r>
        <w:rPr>
          <w:rFonts w:ascii="Calibri" w:hAnsi="Calibri"/>
          <w:sz w:val="22"/>
        </w:rPr>
        <w:t>GeoTIFF.</w:t>
      </w:r>
    </w:p>
    <w:p>
      <w:r>
        <w:rPr>
          <w:rFonts w:ascii="Calibri" w:hAnsi="Calibri"/>
          <w:b/>
          <w:sz w:val="22"/>
        </w:rPr>
        <w:t xml:space="preserve">Temporalidad: </w:t>
      </w:r>
      <w:r>
        <w:rPr>
          <w:rFonts w:ascii="Calibri" w:hAnsi="Calibri"/>
          <w:sz w:val="22"/>
        </w:rPr>
        <w:t>Preferiblemente últimos 3 meses, máximo 6 meses. Nubosidad &lt; 10%.</w:t>
      </w:r>
    </w:p>
    <w:p>
      <w:r>
        <w:rPr>
          <w:rFonts w:ascii="Calibri" w:hAnsi="Calibri"/>
          <w:b/>
          <w:sz w:val="22"/>
        </w:rPr>
        <w:t xml:space="preserve">Entregables: </w:t>
      </w:r>
      <w:r>
        <w:rPr>
          <w:rFonts w:ascii="Calibri" w:hAnsi="Calibri"/>
          <w:sz w:val="22"/>
        </w:rPr>
        <w:t>Imagen ortorrectificada, pancromática + multiespectral, pan-sharpened, máscara de nubes, metadatos, reporte técnico.</w:t>
      </w:r>
    </w:p>
    <w:p/>
    <w:p>
      <w:pPr>
        <w:pStyle w:val="Heading1"/>
      </w:pPr>
      <w:r>
        <w:rPr>
          <w:color w:val="1B5E20"/>
        </w:rPr>
        <w:t>2. Lo que AgroTech puede ofrecer frente a lo solicitado</w:t>
      </w:r>
    </w:p>
    <w:p>
      <w:pPr/>
      <w:r>
        <w:rPr>
          <w:rFonts w:ascii="Calibri" w:hAnsi="Calibri"/>
          <w:sz w:val="22"/>
        </w:rPr>
        <w:t>AgroTech es una empresa de monitoreo satelital orientada al sector agrícola y ambiental. Nuestro servicio principal es la interpretación técnica de imágenes satelitales para generar información útil en la toma de decisiones. Trabajamos con imágenes de resolución media (10 m), óptimas para análisis de vegetación, coberturas y seguimiento de grandes extensiones.</w:t>
      </w:r>
    </w:p>
    <w:p/>
    <w:p>
      <w:pPr/>
      <w:r>
        <w:rPr>
          <w:rFonts w:ascii="Calibri" w:hAnsi="Calibri"/>
          <w:sz w:val="22"/>
        </w:rPr>
        <w:t>No somos proveedores directos de imágenes de muy alta resolución (0.3 m). Sin embargo, podemos ejecutar el proyecto de manera integral gestionando la adquisición de dichas imágenes a través de tecnologías externas y aliados especializados. Este componente tiene un costo adicional que depende del alcance final requerido.</w:t>
      </w:r>
    </w:p>
    <w:p/>
    <w:p>
      <w:pPr/>
      <w:r>
        <w:rPr>
          <w:rFonts w:ascii="Calibri" w:hAnsi="Calibri"/>
          <w:sz w:val="22"/>
        </w:rPr>
        <w:t>A continuación se presenta un análisis comparativo entre lo solicitado y lo que AgroTech puede cubrir directamente o mediante gestión externa:</w:t>
      </w:r>
    </w:p>
    <w:p/>
    <w:tbl>
      <w:tblPr>
        <w:tblStyle w:val="TableGrid"/>
        <w:tblW w:type="auto" w:w="0"/>
        <w:jc w:val="center"/>
        <w:tblLook w:firstColumn="1" w:firstRow="1" w:lastColumn="0" w:lastRow="0" w:noHBand="0" w:noVBand="1" w:val="04A0"/>
      </w:tblPr>
      <w:tblGrid>
        <w:gridCol w:w="3135"/>
        <w:gridCol w:w="3135"/>
        <w:gridCol w:w="3135"/>
      </w:tblGrid>
      <w:tr>
        <w:tc>
          <w:tcPr>
            <w:tcW w:type="dxa" w:w="2551"/>
            <w:shd w:fill="2E7D32" w:val="clear"/>
          </w:tcPr>
          <w:p>
            <w:pPr>
              <w:jc w:val="center"/>
            </w:pPr>
            <w:r/>
            <w:r>
              <w:rPr>
                <w:rFonts w:ascii="Calibri" w:hAnsi="Calibri"/>
                <w:b/>
                <w:color w:val="FFFFFF"/>
                <w:sz w:val="18"/>
              </w:rPr>
              <w:t>Requerimiento</w:t>
            </w:r>
          </w:p>
        </w:tc>
        <w:tc>
          <w:tcPr>
            <w:tcW w:type="dxa" w:w="3118"/>
            <w:shd w:fill="2E7D32" w:val="clear"/>
          </w:tcPr>
          <w:p>
            <w:pPr>
              <w:jc w:val="center"/>
            </w:pPr>
            <w:r/>
            <w:r>
              <w:rPr>
                <w:rFonts w:ascii="Calibri" w:hAnsi="Calibri"/>
                <w:b/>
                <w:color w:val="FFFFFF"/>
                <w:sz w:val="18"/>
              </w:rPr>
              <w:t>Capacidad directa de AgroTech</w:t>
            </w:r>
          </w:p>
        </w:tc>
        <w:tc>
          <w:tcPr>
            <w:tcW w:type="dxa" w:w="3685"/>
            <w:shd w:fill="2E7D32" w:val="clear"/>
          </w:tcPr>
          <w:p>
            <w:pPr>
              <w:jc w:val="center"/>
            </w:pPr>
            <w:r/>
            <w:r>
              <w:rPr>
                <w:rFonts w:ascii="Calibri" w:hAnsi="Calibri"/>
                <w:b/>
                <w:color w:val="FFFFFF"/>
                <w:sz w:val="18"/>
              </w:rPr>
              <w:t>Cobertura con gestión externa</w:t>
            </w:r>
          </w:p>
        </w:tc>
      </w:tr>
      <w:tr>
        <w:tc>
          <w:tcPr>
            <w:tcW w:type="dxa" w:w="2551"/>
          </w:tcPr>
          <w:p>
            <w:r/>
            <w:r>
              <w:rPr>
                <w:rFonts w:ascii="Calibri" w:hAnsi="Calibri"/>
                <w:sz w:val="18"/>
              </w:rPr>
              <w:t>Imagen 0.3 m pancromática y multiespectral</w:t>
            </w:r>
          </w:p>
        </w:tc>
        <w:tc>
          <w:tcPr>
            <w:tcW w:type="dxa" w:w="3118"/>
            <w:shd w:fill="FFEBEE" w:val="clear"/>
          </w:tcPr>
          <w:p>
            <w:r/>
            <w:r>
              <w:rPr>
                <w:rFonts w:ascii="Calibri" w:hAnsi="Calibri"/>
                <w:sz w:val="18"/>
              </w:rPr>
              <w:t>No aplica. Nuestra resolución de trabajo es 10 m.</w:t>
            </w:r>
          </w:p>
        </w:tc>
        <w:tc>
          <w:tcPr>
            <w:tcW w:type="dxa" w:w="3685"/>
          </w:tcPr>
          <w:p>
            <w:r/>
            <w:r>
              <w:rPr>
                <w:rFonts w:ascii="Calibri" w:hAnsi="Calibri"/>
                <w:sz w:val="18"/>
              </w:rPr>
              <w:t>Se gestiona mediante tecnologías externas de alta resolución. Implica un costo adicional al servicio base.</w:t>
            </w:r>
          </w:p>
        </w:tc>
      </w:tr>
      <w:tr>
        <w:tc>
          <w:tcPr>
            <w:tcW w:type="dxa" w:w="2551"/>
          </w:tcPr>
          <w:p>
            <w:r/>
            <w:r>
              <w:rPr>
                <w:rFonts w:ascii="Calibri" w:hAnsi="Calibri"/>
                <w:sz w:val="18"/>
              </w:rPr>
              <w:t>Ortorrectificación y correcciones</w:t>
            </w:r>
          </w:p>
        </w:tc>
        <w:tc>
          <w:tcPr>
            <w:tcW w:type="dxa" w:w="3118"/>
            <w:shd w:fill="FFEBEE" w:val="clear"/>
          </w:tcPr>
          <w:p>
            <w:r/>
            <w:r>
              <w:rPr>
                <w:rFonts w:ascii="Calibri" w:hAnsi="Calibri"/>
                <w:sz w:val="18"/>
              </w:rPr>
              <w:t>No aplica.</w:t>
            </w:r>
          </w:p>
        </w:tc>
        <w:tc>
          <w:tcPr>
            <w:tcW w:type="dxa" w:w="3685"/>
          </w:tcPr>
          <w:p>
            <w:r/>
            <w:r>
              <w:rPr>
                <w:rFonts w:ascii="Calibri" w:hAnsi="Calibri"/>
                <w:sz w:val="18"/>
              </w:rPr>
              <w:t>El proveedor externo entrega el producto procesado con todos los estándares requeridos.</w:t>
            </w:r>
          </w:p>
        </w:tc>
      </w:tr>
      <w:tr>
        <w:tc>
          <w:tcPr>
            <w:tcW w:type="dxa" w:w="2551"/>
          </w:tcPr>
          <w:p>
            <w:r/>
            <w:r>
              <w:rPr>
                <w:rFonts w:ascii="Calibri" w:hAnsi="Calibri"/>
                <w:sz w:val="18"/>
              </w:rPr>
              <w:t>Delimitación de predios</w:t>
            </w:r>
          </w:p>
        </w:tc>
        <w:tc>
          <w:tcPr>
            <w:tcW w:type="dxa" w:w="3118"/>
            <w:shd w:fill="FFF8E1" w:val="clear"/>
          </w:tcPr>
          <w:p>
            <w:r/>
            <w:r>
              <w:rPr>
                <w:rFonts w:ascii="Calibri" w:hAnsi="Calibri"/>
                <w:sz w:val="18"/>
              </w:rPr>
              <w:t>Apta para predios de escala media a grande (&gt; 5 ha). No para linderos de alta precisión.</w:t>
            </w:r>
          </w:p>
        </w:tc>
        <w:tc>
          <w:tcPr>
            <w:tcW w:type="dxa" w:w="3685"/>
          </w:tcPr>
          <w:p>
            <w:r/>
            <w:r>
              <w:rPr>
                <w:rFonts w:ascii="Calibri" w:hAnsi="Calibri"/>
                <w:sz w:val="18"/>
              </w:rPr>
              <w:t>Completo. La imagen de alta resolución permite digitalizar linderos con precisión.</w:t>
            </w:r>
          </w:p>
        </w:tc>
      </w:tr>
      <w:tr>
        <w:tc>
          <w:tcPr>
            <w:tcW w:type="dxa" w:w="2551"/>
          </w:tcPr>
          <w:p>
            <w:r/>
            <w:r>
              <w:rPr>
                <w:rFonts w:ascii="Calibri" w:hAnsi="Calibri"/>
                <w:sz w:val="18"/>
              </w:rPr>
              <w:t>Identificación de coberturas del suelo</w:t>
            </w:r>
          </w:p>
        </w:tc>
        <w:tc>
          <w:tcPr>
            <w:tcW w:type="dxa" w:w="3118"/>
            <w:shd w:fill="E8F5E9" w:val="clear"/>
          </w:tcPr>
          <w:p>
            <w:r/>
            <w:r>
              <w:rPr>
                <w:rFonts w:ascii="Calibri" w:hAnsi="Calibri"/>
                <w:sz w:val="18"/>
              </w:rPr>
              <w:t>Completo. Los índices NDVI, NDMI, EVI y SAVI diferencian tipos de cobertura vegetal y suelo desnudo.</w:t>
            </w:r>
          </w:p>
        </w:tc>
        <w:tc>
          <w:tcPr>
            <w:tcW w:type="dxa" w:w="3685"/>
          </w:tcPr>
          <w:p>
            <w:r/>
            <w:r>
              <w:rPr>
                <w:rFonts w:ascii="Calibri" w:hAnsi="Calibri"/>
                <w:sz w:val="18"/>
              </w:rPr>
              <w:t>Complementado con mayor detalle en coberturas pequeñas.</w:t>
            </w:r>
          </w:p>
        </w:tc>
      </w:tr>
      <w:tr>
        <w:tc>
          <w:tcPr>
            <w:tcW w:type="dxa" w:w="2551"/>
          </w:tcPr>
          <w:p>
            <w:r/>
            <w:r>
              <w:rPr>
                <w:rFonts w:ascii="Calibri" w:hAnsi="Calibri"/>
                <w:sz w:val="18"/>
              </w:rPr>
              <w:t>MAGNA-SIRGAS / UTM</w:t>
            </w:r>
          </w:p>
        </w:tc>
        <w:tc>
          <w:tcPr>
            <w:tcW w:type="dxa" w:w="3118"/>
            <w:shd w:fill="E8F5E9" w:val="clear"/>
          </w:tcPr>
          <w:p>
            <w:r/>
            <w:r>
              <w:rPr>
                <w:rFonts w:ascii="Calibri" w:hAnsi="Calibri"/>
                <w:sz w:val="18"/>
              </w:rPr>
              <w:t>Completo. Realizamos reproyección de coordenadas.</w:t>
            </w:r>
          </w:p>
        </w:tc>
        <w:tc>
          <w:tcPr>
            <w:tcW w:type="dxa" w:w="3685"/>
          </w:tcPr>
          <w:p>
            <w:r/>
            <w:r>
              <w:rPr>
                <w:rFonts w:ascii="Calibri" w:hAnsi="Calibri"/>
                <w:sz w:val="18"/>
              </w:rPr>
              <w:t>Completo.</w:t>
            </w:r>
          </w:p>
        </w:tc>
      </w:tr>
      <w:tr>
        <w:tc>
          <w:tcPr>
            <w:tcW w:type="dxa" w:w="2551"/>
          </w:tcPr>
          <w:p>
            <w:r/>
            <w:r>
              <w:rPr>
                <w:rFonts w:ascii="Calibri" w:hAnsi="Calibri"/>
                <w:sz w:val="18"/>
              </w:rPr>
              <w:t>Máscara de nubes</w:t>
            </w:r>
          </w:p>
        </w:tc>
        <w:tc>
          <w:tcPr>
            <w:tcW w:type="dxa" w:w="3118"/>
            <w:shd w:fill="FFEBEE" w:val="clear"/>
          </w:tcPr>
          <w:p>
            <w:r/>
            <w:r>
              <w:rPr>
                <w:rFonts w:ascii="Calibri" w:hAnsi="Calibri"/>
                <w:sz w:val="18"/>
              </w:rPr>
              <w:t>No aplica.</w:t>
            </w:r>
          </w:p>
        </w:tc>
        <w:tc>
          <w:tcPr>
            <w:tcW w:type="dxa" w:w="3685"/>
          </w:tcPr>
          <w:p>
            <w:r/>
            <w:r>
              <w:rPr>
                <w:rFonts w:ascii="Calibri" w:hAnsi="Calibri"/>
                <w:sz w:val="18"/>
              </w:rPr>
              <w:t>Incluida en el producto de alta resolución.</w:t>
            </w:r>
          </w:p>
        </w:tc>
      </w:tr>
      <w:tr>
        <w:tc>
          <w:tcPr>
            <w:tcW w:type="dxa" w:w="2551"/>
          </w:tcPr>
          <w:p>
            <w:r/>
            <w:r>
              <w:rPr>
                <w:rFonts w:ascii="Calibri" w:hAnsi="Calibri"/>
                <w:sz w:val="18"/>
              </w:rPr>
              <w:t>Reporte técnico + metadatos</w:t>
            </w:r>
          </w:p>
        </w:tc>
        <w:tc>
          <w:tcPr>
            <w:tcW w:type="dxa" w:w="3118"/>
            <w:shd w:fill="E8F5E9" w:val="clear"/>
          </w:tcPr>
          <w:p>
            <w:r/>
            <w:r>
              <w:rPr>
                <w:rFonts w:ascii="Calibri" w:hAnsi="Calibri"/>
                <w:sz w:val="18"/>
              </w:rPr>
              <w:t>Completo. AgroTech elabora el reporte técnico consolidado con interpretación experta.</w:t>
            </w:r>
          </w:p>
        </w:tc>
        <w:tc>
          <w:tcPr>
            <w:tcW w:type="dxa" w:w="3685"/>
          </w:tcPr>
          <w:p>
            <w:r/>
            <w:r>
              <w:rPr>
                <w:rFonts w:ascii="Calibri" w:hAnsi="Calibri"/>
                <w:sz w:val="18"/>
              </w:rPr>
              <w:t>Completo.</w:t>
            </w:r>
          </w:p>
        </w:tc>
      </w:tr>
    </w:tbl>
    <w:p>
      <w:r/>
    </w:p>
    <w:p/>
    <w:p>
      <w:pPr/>
      <w:r>
        <w:rPr>
          <w:b/>
          <w:sz w:val="22"/>
          <w:rFonts w:ascii="Calibri" w:hAnsi="Calibri"/>
        </w:rPr>
        <w:t xml:space="preserve">Limitaciones prácticas de las imágenes de 0.3 m en la zona del proyecto:</w:t>
      </w:r>
    </w:p>
    <w:p>
      <w:pPr>
        <w:numPr>
          <w:ilvl w:val="0"/>
          <w:numId w:val="1"/>
        </w:numPr>
        <w:pStyle w:val="ListBullet"/>
      </w:pPr>
      <w:r>
        <w:rPr>
          <w:sz w:val="22"/>
          <w:rFonts w:ascii="Calibri" w:hAnsi="Calibri"/>
        </w:rPr>
        <w:t xml:space="preserve">Acceso limitado a la zona: Vista Hermosa y La Macarena son municipios de difícil acceso terrestre. La contratación de vuelos de dron en esta región implica costos logísticos elevados y riesgos operativos. Esto refuerza la necesidad de una solución satelital, como la contemplada en los requerimientos del proyecto.</w:t>
      </w:r>
    </w:p>
    <w:p>
      <w:pPr>
        <w:numPr>
          <w:ilvl w:val="0"/>
          <w:numId w:val="1"/>
        </w:numPr>
        <w:pStyle w:val="ListBullet"/>
      </w:pPr>
      <w:r>
        <w:rPr>
          <w:sz w:val="22"/>
          <w:rFonts w:ascii="Calibri" w:hAnsi="Calibri"/>
        </w:rPr>
        <w:t xml:space="preserve">Alta nubosidad en el Piedemonte Amazónico: la probabilidad de obtener una imagen satelital de 0.3 m con menos del 10 % de nubosidad en una sola pasada es baja. Programar una captura nueva puede tomar semanas o meses, sin garantía de éxito en la primera ventana.</w:t>
      </w:r>
    </w:p>
    <w:p>
      <w:pPr>
        <w:pBdr>
          <w:left w:val="single" w:sz="12" w:space="8" w:color="1B5E20"/>
        </w:pBdr>
      </w:pPr>
      <w:r>
        <w:rPr>
          <w:sz w:val="20"/>
          <w:i/>
          <w:color w:val="333333"/>
          <w:rFonts w:ascii="Calibri" w:hAnsi="Calibri"/>
        </w:rPr>
        <w:t xml:space="preserve">Frente a estas limitaciones, la resolución de 10 m con la que trabaja AgroTech representa una ventaja operativa importante: las imágenes Sentinel-2 se capturan cada 5 días sobre la zona, lo que multiplica las probabilidades de obtener escenas con baja nubosidad sin costo de programación ni tiempos de espera. Además, al ser un servicio que AgroTech ya tiene operativo, puede iniciarse de inmediato sin depender de terceros.</w:t>
      </w:r>
    </w:p>
    <w:p/>
    <w:p>
      <w:pPr>
        <w:pStyle w:val="Heading1"/>
      </w:pPr>
      <w:r>
        <w:rPr>
          <w:color w:val="1B5E20"/>
        </w:rPr>
        <w:t>3. Por qué es importante aclarar los requerimientos</w:t>
      </w:r>
    </w:p>
    <w:p>
      <w:pPr/>
      <w:r>
        <w:rPr>
          <w:rFonts w:ascii="Calibri" w:hAnsi="Calibri"/>
          <w:sz w:val="22"/>
        </w:rPr>
        <w:t>Dado que las imágenes de muy alta resolución (0.3 m) no hacen parte de nuestro servicio estándar y requieren ser gestionadas a través de tecnologías externas, el costo del proyecto puede variar significativamente según el alcance real que se necesite. Aclarar los siguientes puntos permite ajustar la propuesta técnica y económica a lo estrictamente requerido, evitando sobrecostos innecesarios.</w:t>
      </w:r>
    </w:p>
    <w:p/>
    <w:p>
      <w:pPr/>
      <w:r>
        <w:rPr>
          <w:rFonts w:ascii="Calibri" w:hAnsi="Calibri"/>
          <w:sz w:val="22"/>
        </w:rPr>
        <w:t>En la comunicación inicial se mencionó que el proyecto no requiere monitoreo continuo sino imágenes puntuales de las zonas de interés, lo cual reduce significativamente el alcance y el costo del componente de análisis. Solicitamos confirmar este punto para proceder con la cotización ajustada.</w:t>
      </w:r>
    </w:p>
    <w:p/>
    <w:p>
      <w:pPr>
        <w:pStyle w:val="Heading1"/>
      </w:pPr>
      <w:r>
        <w:rPr>
          <w:color w:val="1B5E20"/>
        </w:rPr>
        <w:t>4. Puntos que requerimos clarificar</w:t>
      </w:r>
    </w:p>
    <w:p>
      <w:pPr/>
      <w:r>
        <w:rPr>
          <w:rFonts w:ascii="Calibri" w:hAnsi="Calibri"/>
          <w:sz w:val="22"/>
        </w:rPr>
        <w:t>Para presentar una propuesta ajustada a la necesidad real del proyecto, solicitamos amablemente clarificar los siguientes aspectos:</w:t>
      </w:r>
    </w:p>
    <w:p/>
    <w:p>
      <w:r>
        <w:rPr>
          <w:rFonts w:ascii="Calibri" w:hAnsi="Calibri"/>
          <w:b/>
          <w:sz w:val="22"/>
        </w:rPr>
        <w:t>1. Obligatoriedad de la resolución de 0.3 metros:</w:t>
      </w:r>
    </w:p>
    <w:p>
      <w:pPr>
        <w:pBdr>
          <w:left w:val="single" w:sz="12" w:space="8" w:color="E67E22"/>
        </w:pBdr>
      </w:pPr>
      <w:r>
        <w:rPr>
          <w:rFonts w:ascii="Calibri" w:hAnsi="Calibri"/>
          <w:i/>
          <w:color w:val="E67E22"/>
          <w:sz w:val="20"/>
        </w:rPr>
        <w:t>¿La resolución de 0.3 m es un requisito obligatorio del contrato o una especificación deseable? AgroTech trabaja con resolución base de 10 m, suficiente para análisis de coberturas vegetales, identificación de cambios en el terreno y delimitación de predios de escala media. La imagen de 0.3 m aplica para delimitación predial de alta precisión. Si el proyecto puede trabajar con imágenes de 10 m, el costo se reduce considerablemente al eliminar la necesidad de tecnologías externas.</w:t>
      </w:r>
    </w:p>
    <w:p/>
    <w:p>
      <w:r>
        <w:rPr>
          <w:rFonts w:ascii="Calibri" w:hAnsi="Calibri"/>
          <w:b/>
          <w:sz w:val="22"/>
        </w:rPr>
        <w:t>2. Cantidad de imágenes requeridas por zona:</w:t>
      </w:r>
    </w:p>
    <w:p>
      <w:pPr>
        <w:pBdr>
          <w:left w:val="single" w:sz="12" w:space="8" w:color="E67E22"/>
        </w:pBdr>
      </w:pPr>
      <w:r>
        <w:rPr>
          <w:rFonts w:ascii="Calibri" w:hAnsi="Calibri"/>
          <w:i/>
          <w:color w:val="E67E22"/>
          <w:sz w:val="20"/>
        </w:rPr>
        <w:t>¿Cuántas imágenes se requieren por zona de intervención? ¿Se necesita una sola imagen por predio (única captura) o se requieren múltiples imágenes a lo largo del tiempo para comparar el antes y el después de la intervención? Esto define el volumen de adquisición externa y el alcance del análisis técnico.</w:t>
      </w:r>
    </w:p>
    <w:p/>
    <w:p>
      <w:r>
        <w:rPr>
          <w:rFonts w:ascii="Calibri" w:hAnsi="Calibri"/>
          <w:b/>
          <w:sz w:val="22"/>
        </w:rPr>
        <w:t>3. Necesidad de monitoreo o seguimiento continuo:</w:t>
      </w:r>
    </w:p>
    <w:p>
      <w:pPr>
        <w:pBdr>
          <w:left w:val="single" w:sz="12" w:space="8" w:color="E67E22"/>
        </w:pBdr>
      </w:pPr>
      <w:r>
        <w:rPr>
          <w:rFonts w:ascii="Calibri" w:hAnsi="Calibri"/>
          <w:i/>
          <w:color w:val="E67E22"/>
          <w:sz w:val="20"/>
        </w:rPr>
        <w:t>Confirmamos lo conversado inicialmente: ¿el proyecto requiere únicamente imágenes puntuales de las zonas (sin seguimiento periódico), o se necesita algún nivel de monitoreo para verificar la evolución de las áreas intervenidas? Esto determina si AgroTech entrega únicamente el análisis de las imágenes adquiridas o si se configura un componente de seguimiento temporal.</w:t>
      </w:r>
    </w:p>
    <w:p/>
    <w:p>
      <w:r>
        <w:rPr>
          <w:rFonts w:ascii="Calibri" w:hAnsi="Calibri"/>
          <w:b/>
          <w:sz w:val="22"/>
        </w:rPr>
        <w:t>4. Gestión de las imágenes de alta resolución:</w:t>
      </w:r>
    </w:p>
    <w:p>
      <w:pPr>
        <w:pBdr>
          <w:left w:val="single" w:sz="12" w:space="8" w:color="E67E22"/>
        </w:pBdr>
      </w:pPr>
      <w:r>
        <w:rPr>
          <w:rFonts w:ascii="Calibri" w:hAnsi="Calibri"/>
          <w:i/>
          <w:color w:val="E67E22"/>
          <w:sz w:val="20"/>
        </w:rPr>
        <w:t>En caso de que la resolución de 10 m de AgroTech sea suficiente para el proyecto, podemos trabajar directamente con nuestras imágenes sin costo adicional por tecnologías externas. Si por el contrario se requiere obligatoriamente la resolución de 0.3 m, esta puede conseguirse tanto mediante satélites de muy alta resolución (tipo Pléiades Neo o equivalentes) como mediante vuelos de dron, lo cual implicaría un costo adicional al servicio base de AgroTech. En ese caso, ¿el proyecto prefiere que AgroTech gestione la contratación de dicha tecnología externa o que el proyecto la adquiera por su cuenta y nos entregue las imágenes para el análisis y la generación del reporte técnico?</w:t>
      </w:r>
    </w:p>
    <w:p/>
    <w:p>
      <w:r>
        <w:rPr>
          <w:rFonts w:ascii="Calibri" w:hAnsi="Calibri"/>
          <w:b/>
          <w:sz w:val="22"/>
        </w:rPr>
        <w:t>5. Flexibilidad en la temporalidad:</w:t>
      </w:r>
    </w:p>
    <w:p>
      <w:pPr>
        <w:pBdr>
          <w:left w:val="single" w:sz="12" w:space="8" w:color="E67E22"/>
        </w:pBdr>
      </w:pPr>
      <w:r>
        <w:rPr>
          <w:rFonts w:ascii="Calibri" w:hAnsi="Calibri"/>
          <w:i/>
          <w:color w:val="E67E22"/>
          <w:sz w:val="20"/>
        </w:rPr>
        <w:t>La zona de Vista Hermosa y La Macarena (piedemonte amazónico) presenta alta nubosidad durante gran parte del año. ¿Existe flexibilidad en la ventana de adquisición de imágenes? Una ventana más amplia aumenta la probabilidad de obtener imágenes con baja nubosidad y evita sobrecostos por programación urgente.</w:t>
      </w:r>
    </w:p>
    <w:p/>
    <w:p>
      <w:r>
        <w:rPr>
          <w:rFonts w:ascii="Calibri" w:hAnsi="Calibri"/>
          <w:b/>
          <w:sz w:val="22"/>
        </w:rPr>
        <w:t>6. Información complementaria:</w:t>
      </w:r>
    </w:p>
    <w:p>
      <w:pPr>
        <w:pBdr>
          <w:left w:val="single" w:sz="12" w:space="8" w:color="E67E22"/>
        </w:pBdr>
      </w:pPr>
      <w:r>
        <w:rPr>
          <w:rFonts w:ascii="Calibri" w:hAnsi="Calibri"/>
          <w:i/>
          <w:color w:val="E67E22"/>
          <w:sz w:val="20"/>
        </w:rPr>
        <w:t>¿En qué sistema de referencia están actualmente los archivos vectoriales (shapefiles) de los predios? ¿Se encuentran digitalizados y listos para entrega? Contar con esta información desde el inicio permite agilizar la fase de configuración y análisis.</w:t>
      </w:r>
    </w:p>
    <w:p/>
    <w:p>
      <w:pPr>
        <w:pStyle w:val="Heading1"/>
      </w:pPr>
      <w:r>
        <w:rPr>
          <w:color w:val="1B5E20"/>
        </w:rPr>
        <w:t>5. Próximos pasos</w:t>
      </w:r>
    </w:p>
    <w:p>
      <w:pPr/>
      <w:r>
        <w:rPr>
          <w:rFonts w:ascii="Calibri" w:hAnsi="Calibri"/>
          <w:sz w:val="22"/>
        </w:rPr>
        <w:t>Una vez recibidas las respuestas a los puntos anteriores, AgroTech estará en capacidad de:</w:t>
      </w:r>
    </w:p>
    <w:p/>
    <w:p>
      <w:pPr>
        <w:pStyle w:val="ListNumber"/>
      </w:pPr>
      <w:r>
        <w:rPr>
          <w:rFonts w:ascii="Calibri" w:hAnsi="Calibri"/>
          <w:sz w:val="22"/>
        </w:rPr>
        <w:t>Definir con precisión el alcance del servicio requerido.</w:t>
      </w:r>
    </w:p>
    <w:p>
      <w:pPr>
        <w:pStyle w:val="ListNumber"/>
      </w:pPr>
      <w:r>
        <w:rPr>
          <w:rFonts w:ascii="Calibri" w:hAnsi="Calibri"/>
          <w:sz w:val="22"/>
        </w:rPr>
        <w:t>Gestionar cotizaciones con tecnologías externas de alta resolución (si aplica) con base en los polígonos del proyecto.</w:t>
      </w:r>
    </w:p>
    <w:p>
      <w:pPr>
        <w:pStyle w:val="ListNumber"/>
      </w:pPr>
      <w:r>
        <w:rPr>
          <w:rFonts w:ascii="Calibri" w:hAnsi="Calibri"/>
          <w:sz w:val="22"/>
        </w:rPr>
        <w:t>Presentar una propuesta económica detallada con tiempos de entrega.</w:t>
      </w:r>
    </w:p>
    <w:p>
      <w:pPr>
        <w:pStyle w:val="ListNumber"/>
      </w:pPr>
      <w:r>
        <w:rPr>
          <w:rFonts w:ascii="Calibri" w:hAnsi="Calibri"/>
          <w:sz w:val="22"/>
        </w:rPr>
        <w:t>Iniciar el análisis sobre las áreas de interés tan pronto se reciban los archivos vectoriales.</w:t>
      </w:r>
    </w:p>
    <w:p/>
    <w:p>
      <w:pPr/>
      <w:r>
        <w:rPr>
          <w:rFonts w:ascii="Calibri" w:hAnsi="Calibri"/>
          <w:sz w:val="22"/>
        </w:rPr>
        <w:t>AgroTech queda atento a sus comentarios y a la información complementaria (shapefiles de predios) para avanzar con la siguiente fase.</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