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drawing>
          <wp:inline xmlns:a="http://schemas.openxmlformats.org/drawingml/2006/main" xmlns:pic="http://schemas.openxmlformats.org/drawingml/2006/picture">
            <wp:extent cx="2560320" cy="556591"/>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560320" cy="556591"/>
                    </a:xfrm>
                    <a:prstGeom prst="rect"/>
                  </pic:spPr>
                </pic:pic>
              </a:graphicData>
            </a:graphic>
          </wp:inline>
        </w:drawing>
      </w:r>
    </w:p>
    <w:p/>
    <w:p/>
    <w:p>
      <w:pPr>
        <w:pBdr>
          <w:bottom w:val="single" w:sz="6" w:space="1" w:color="1B5E20"/>
        </w:pBdr>
      </w:pPr>
    </w:p>
    <w:p>
      <w:pPr>
        <w:jc w:val="center"/>
      </w:pPr>
      <w:r>
        <w:rPr>
          <w:rFonts w:ascii="Calibri" w:hAnsi="Calibri"/>
          <w:b/>
          <w:color w:val="1B5E20"/>
          <w:sz w:val="52"/>
        </w:rPr>
        <w:t>PROPUESTA COMERCIAL</w:t>
      </w:r>
    </w:p>
    <w:p/>
    <w:p>
      <w:pPr>
        <w:jc w:val="center"/>
      </w:pPr>
      <w:r>
        <w:rPr>
          <w:rFonts w:ascii="Calibri" w:hAnsi="Calibri"/>
          <w:color w:val="2E7D32"/>
          <w:sz w:val="32"/>
        </w:rPr>
        <w:t>Adquisición de Imágenes Satelitales</w:t>
        <w:br/>
        <w:t>de Muy Alta Resolución Espacial</w:t>
      </w:r>
    </w:p>
    <w:p/>
    <w:p/>
    <w:p>
      <w:pPr>
        <w:jc w:val="center"/>
      </w:pPr>
      <w:r>
        <w:rPr>
          <w:rFonts w:ascii="Calibri" w:hAnsi="Calibri"/>
          <w:color w:val="4CAF50"/>
          <w:sz w:val="28"/>
        </w:rPr>
        <w:t>Vista Hermosa y La Macarena — Meta</w:t>
      </w:r>
    </w:p>
    <w:p>
      <w:pPr>
        <w:jc w:val="center"/>
      </w:pPr>
      <w:r>
        <w:rPr>
          <w:rFonts w:ascii="Calibri" w:hAnsi="Calibri"/>
          <w:color w:val="66BB6A"/>
          <w:sz w:val="24"/>
        </w:rPr>
        <w:t>Proyecto de Rehabilitación Ecológica y</w:t>
        <w:br/>
        <w:t>Establecimiento de Sistemas Agroforestales</w:t>
      </w:r>
    </w:p>
    <w:p>
      <w:pPr>
        <w:pBdr>
          <w:bottom w:val="single" w:sz="6" w:space="1" w:color="1B5E20"/>
        </w:pBdr>
      </w:pPr>
    </w:p>
    <w:p/>
    <w:p/>
    <w:p/>
    <w:p>
      <w:pPr>
        <w:jc w:val="center"/>
      </w:pPr>
      <w:r>
        <w:rPr>
          <w:rFonts w:ascii="Calibri" w:hAnsi="Calibri"/>
          <w:sz w:val="22"/>
        </w:rPr>
        <w:t>Presentado a: [NOMBRE DE LA ENTIDAD CONTRATANTE]</w:t>
      </w:r>
    </w:p>
    <w:p>
      <w:pPr>
        <w:jc w:val="center"/>
      </w:pPr>
      <w:r>
        <w:rPr>
          <w:rFonts w:ascii="Calibri" w:hAnsi="Calibri"/>
          <w:sz w:val="22"/>
        </w:rPr>
        <w:t>Fecha: Junio de 2026</w:t>
      </w:r>
    </w:p>
    <w:p>
      <w:r>
        <w:br w:type="page"/>
      </w:r>
    </w:p>
    <w:p>
      <w:pPr>
        <w:pStyle w:val="Heading1"/>
      </w:pPr>
      <w:r>
        <w:rPr>
          <w:rFonts w:ascii="Calibri" w:hAnsi="Calibri"/>
          <w:color w:val="1B5E20"/>
        </w:rPr>
        <w:t>1. OBJETO</w:t>
      </w:r>
    </w:p>
    <w:p>
      <w:r>
        <w:rPr>
          <w:rFonts w:ascii="Calibri" w:hAnsi="Calibri"/>
          <w:sz w:val="22"/>
        </w:rPr>
        <w:t>Provisión de imágenes satelitales de muy alta resolución espacial (0.3 metros) con cobertura total sobre las áreas de intervención del proyecto de rehabilitación ecológica y establecimiento de sistemas agroforestales en los municipios de Vista Hermosa y La Macarena, departamento del Meta.</w:t>
      </w:r>
    </w:p>
    <w:p/>
    <w:p>
      <w:pPr>
        <w:pStyle w:val="Heading1"/>
      </w:pPr>
      <w:r>
        <w:rPr>
          <w:rFonts w:ascii="Calibri" w:hAnsi="Calibri"/>
          <w:color w:val="1B5E20"/>
        </w:rPr>
        <w:t>2. ALCANCE DEL SERVICIO</w:t>
      </w:r>
    </w:p>
    <w:p>
      <w:r>
        <w:rPr>
          <w:rFonts w:ascii="Calibri" w:hAnsi="Calibri"/>
          <w:sz w:val="22"/>
        </w:rPr>
        <w:t>El servicio comprende la búsqueda, adquisición, procesamiento y entrega de una (1) imagen satelital baseline por cada polígono de intervención (Vista Hermosa y La Macarena), que cumpla con las especificaciones técnicas requeridas para apoyar la fase actual de levantamiento y delimitación predial.</w:t>
      </w:r>
    </w:p>
    <w:p/>
    <w:p>
      <w:r>
        <w:rPr>
          <w:rFonts w:ascii="Calibri" w:hAnsi="Calibri"/>
          <w:sz w:val="22"/>
        </w:rPr>
        <w:t>Esta cotización NO incluye una segunda fecha de adquisición para monitoreo futuro. Dicho servicio, si el contratante lo requiere, podrá contratarse de manera independiente en el momento en que se solicite (ver sección 7.2).</w:t>
      </w:r>
    </w:p>
    <w:p/>
    <w:p>
      <w:r>
        <w:rPr>
          <w:rFonts w:ascii="Calibri" w:hAnsi="Calibri"/>
          <w:sz w:val="22"/>
        </w:rPr>
        <w:t>Nuestro equipo técnico se encarga de la totalidad del proceso:</w:t>
      </w:r>
    </w:p>
    <w:p>
      <w:pPr>
        <w:pStyle w:val="ListBullet"/>
      </w:pPr>
      <w:r>
        <w:rPr>
          <w:rFonts w:ascii="Calibri" w:hAnsi="Calibri"/>
          <w:sz w:val="22"/>
        </w:rPr>
        <w:t>Búsqueda y selección de las mejores escenas disponibles en archivo satelital que cumplan los criterios de temporalidad, resolución y nubosidad exigidos.</w:t>
      </w:r>
    </w:p>
    <w:p>
      <w:pPr>
        <w:pStyle w:val="ListBullet"/>
      </w:pPr>
      <w:r>
        <w:rPr>
          <w:rFonts w:ascii="Calibri" w:hAnsi="Calibri"/>
          <w:sz w:val="22"/>
        </w:rPr>
        <w:t>Adquisición de las imágenes a través de proveedores internacionales de primer nivel.</w:t>
      </w:r>
    </w:p>
    <w:p>
      <w:pPr>
        <w:pStyle w:val="ListBullet"/>
      </w:pPr>
      <w:r>
        <w:rPr>
          <w:rFonts w:ascii="Calibri" w:hAnsi="Calibri"/>
          <w:sz w:val="22"/>
        </w:rPr>
        <w:t>Procesamiento especializado que incluye ortorrectificación, fusión pancromática-multiespectral (pan-sharpening), correcciones radiométricas y atmosféricas, y reproyección al sistema de coordenadas oficial colombiano.</w:t>
      </w:r>
    </w:p>
    <w:p>
      <w:pPr>
        <w:pStyle w:val="ListBullet"/>
      </w:pPr>
      <w:r>
        <w:rPr>
          <w:rFonts w:ascii="Calibri" w:hAnsi="Calibri"/>
          <w:sz w:val="22"/>
        </w:rPr>
        <w:t>Validación de calidad geométrica y radiométrica de cada producto entregado.</w:t>
      </w:r>
    </w:p>
    <w:p>
      <w:pPr>
        <w:pStyle w:val="ListBullet"/>
      </w:pPr>
      <w:r>
        <w:rPr>
          <w:rFonts w:ascii="Calibri" w:hAnsi="Calibri"/>
          <w:sz w:val="22"/>
        </w:rPr>
        <w:t>Documentación técnica completa con metadatos y reporte de procesamiento.</w:t>
      </w:r>
    </w:p>
    <w:p>
      <w:pPr>
        <w:pStyle w:val="ListBullet"/>
      </w:pPr>
      <w:r>
        <w:rPr>
          <w:rFonts w:ascii="Calibri" w:hAnsi="Calibri"/>
          <w:sz w:val="22"/>
        </w:rPr>
        <w:t>Entrega en formato GeoTIFF listo para integración directa en cualquier software SIG.</w:t>
      </w:r>
    </w:p>
    <w:p/>
    <w:p>
      <w:pPr>
        <w:pStyle w:val="Heading1"/>
      </w:pPr>
      <w:r>
        <w:rPr>
          <w:rFonts w:ascii="Calibri" w:hAnsi="Calibri"/>
          <w:color w:val="1B5E20"/>
        </w:rPr>
        <w:t>3. PRODUCTOS ENTREGABLES POR FECHA DE ADQUISICIÓN</w:t>
      </w:r>
    </w:p>
    <w:p>
      <w:r>
        <w:rPr>
          <w:rFonts w:ascii="Calibri" w:hAnsi="Calibri"/>
          <w:sz w:val="22"/>
        </w:rPr>
        <w:t>Por cada fecha de adquisición se entrega el siguiente paquete completo:</w:t>
      </w:r>
    </w:p>
    <w:p/>
    <w:tbl>
      <w:tblPr>
        <w:tblStyle w:val="TableGrid"/>
        <w:tblW w:type="auto" w:w="0"/>
        <w:tblLook w:firstColumn="1" w:firstRow="1" w:lastColumn="0" w:lastRow="0" w:noHBand="0" w:noVBand="1" w:val="04A0"/>
      </w:tblPr>
      <w:tblGrid>
        <w:gridCol w:w="3135"/>
        <w:gridCol w:w="3135"/>
        <w:gridCol w:w="3135"/>
      </w:tblGrid>
      <w:tr>
        <w:tc>
          <w:tcPr>
            <w:tcW w:type="dxa" w:w="680"/>
            <w:shd w:fill="1B5E20" w:val="clear"/>
          </w:tcPr>
          <w:p>
            <w:pPr>
              <w:jc w:val="center"/>
            </w:pPr>
            <w:r/>
            <w:r>
              <w:rPr>
                <w:rFonts w:ascii="Calibri" w:hAnsi="Calibri"/>
                <w:b/>
                <w:color w:val="FFFFFF"/>
                <w:sz w:val="20"/>
              </w:rPr>
              <w:t>#</w:t>
            </w:r>
          </w:p>
        </w:tc>
        <w:tc>
          <w:tcPr>
            <w:tcW w:type="dxa" w:w="6803"/>
            <w:shd w:fill="1B5E20" w:val="clear"/>
          </w:tcPr>
          <w:p>
            <w:pPr>
              <w:jc w:val="center"/>
            </w:pPr>
            <w:r/>
            <w:r>
              <w:rPr>
                <w:rFonts w:ascii="Calibri" w:hAnsi="Calibri"/>
                <w:b/>
                <w:color w:val="FFFFFF"/>
                <w:sz w:val="20"/>
              </w:rPr>
              <w:t>Producto</w:t>
            </w:r>
          </w:p>
        </w:tc>
        <w:tc>
          <w:tcPr>
            <w:tcW w:type="dxa" w:w="1871"/>
            <w:shd w:fill="1B5E20" w:val="clear"/>
          </w:tcPr>
          <w:p>
            <w:pPr>
              <w:jc w:val="center"/>
            </w:pPr>
            <w:r/>
            <w:r>
              <w:rPr>
                <w:rFonts w:ascii="Calibri" w:hAnsi="Calibri"/>
                <w:b/>
                <w:color w:val="FFFFFF"/>
                <w:sz w:val="20"/>
              </w:rPr>
              <w:t>Formato</w:t>
            </w:r>
          </w:p>
        </w:tc>
      </w:tr>
      <w:tr>
        <w:tc>
          <w:tcPr>
            <w:tcW w:type="dxa" w:w="680"/>
            <w:shd w:fill="E8F5E9" w:val="clear"/>
          </w:tcPr>
          <w:p>
            <w:pPr>
              <w:jc w:val="center"/>
            </w:pPr>
            <w:r/>
            <w:r>
              <w:rPr>
                <w:rFonts w:ascii="Calibri" w:hAnsi="Calibri"/>
                <w:b w:val="0"/>
                <w:sz w:val="20"/>
              </w:rPr>
              <w:t>1</w:t>
            </w:r>
          </w:p>
        </w:tc>
        <w:tc>
          <w:tcPr>
            <w:tcW w:type="dxa" w:w="6803"/>
          </w:tcPr>
          <w:p>
            <w:r/>
            <w:r>
              <w:rPr>
                <w:rFonts w:ascii="Calibri" w:hAnsi="Calibri"/>
                <w:b w:val="0"/>
                <w:sz w:val="20"/>
              </w:rPr>
              <w:t>Imagen satelital ortorrectificada</w:t>
            </w:r>
          </w:p>
        </w:tc>
        <w:tc>
          <w:tcPr>
            <w:tcW w:type="dxa" w:w="1871"/>
          </w:tcPr>
          <w:p>
            <w:pPr>
              <w:jc w:val="center"/>
            </w:pPr>
            <w:r/>
            <w:r>
              <w:rPr>
                <w:rFonts w:ascii="Calibri" w:hAnsi="Calibri"/>
                <w:b w:val="0"/>
                <w:sz w:val="20"/>
              </w:rPr>
              <w:t>GeoTIFF</w:t>
            </w:r>
          </w:p>
        </w:tc>
      </w:tr>
      <w:tr>
        <w:tc>
          <w:tcPr>
            <w:tcW w:type="dxa" w:w="680"/>
            <w:shd w:fill="E8F5E9" w:val="clear"/>
          </w:tcPr>
          <w:p>
            <w:pPr>
              <w:jc w:val="center"/>
            </w:pPr>
            <w:r/>
            <w:r>
              <w:rPr>
                <w:rFonts w:ascii="Calibri" w:hAnsi="Calibri"/>
                <w:b w:val="0"/>
                <w:sz w:val="20"/>
              </w:rPr>
              <w:t>2</w:t>
            </w:r>
          </w:p>
        </w:tc>
        <w:tc>
          <w:tcPr>
            <w:tcW w:type="dxa" w:w="6803"/>
          </w:tcPr>
          <w:p>
            <w:r/>
            <w:r>
              <w:rPr>
                <w:rFonts w:ascii="Calibri" w:hAnsi="Calibri"/>
                <w:b w:val="0"/>
                <w:sz w:val="20"/>
              </w:rPr>
              <w:t>Imagen multiespectral (6 bandas)</w:t>
            </w:r>
          </w:p>
        </w:tc>
        <w:tc>
          <w:tcPr>
            <w:tcW w:type="dxa" w:w="1871"/>
          </w:tcPr>
          <w:p>
            <w:pPr>
              <w:jc w:val="center"/>
            </w:pPr>
            <w:r/>
            <w:r>
              <w:rPr>
                <w:rFonts w:ascii="Calibri" w:hAnsi="Calibri"/>
                <w:b w:val="0"/>
                <w:sz w:val="20"/>
              </w:rPr>
              <w:t>GeoTIFF</w:t>
            </w:r>
          </w:p>
        </w:tc>
      </w:tr>
      <w:tr>
        <w:tc>
          <w:tcPr>
            <w:tcW w:type="dxa" w:w="680"/>
            <w:shd w:fill="E8F5E9" w:val="clear"/>
          </w:tcPr>
          <w:p>
            <w:pPr>
              <w:jc w:val="center"/>
            </w:pPr>
            <w:r/>
            <w:r>
              <w:rPr>
                <w:rFonts w:ascii="Calibri" w:hAnsi="Calibri"/>
                <w:b w:val="0"/>
                <w:sz w:val="20"/>
              </w:rPr>
              <w:t>3</w:t>
            </w:r>
          </w:p>
        </w:tc>
        <w:tc>
          <w:tcPr>
            <w:tcW w:type="dxa" w:w="6803"/>
          </w:tcPr>
          <w:p>
            <w:r/>
            <w:r>
              <w:rPr>
                <w:rFonts w:ascii="Calibri" w:hAnsi="Calibri"/>
                <w:b w:val="0"/>
                <w:sz w:val="20"/>
              </w:rPr>
              <w:t>Imagen pancromática</w:t>
            </w:r>
          </w:p>
        </w:tc>
        <w:tc>
          <w:tcPr>
            <w:tcW w:type="dxa" w:w="1871"/>
          </w:tcPr>
          <w:p>
            <w:pPr>
              <w:jc w:val="center"/>
            </w:pPr>
            <w:r/>
            <w:r>
              <w:rPr>
                <w:rFonts w:ascii="Calibri" w:hAnsi="Calibri"/>
                <w:b w:val="0"/>
                <w:sz w:val="20"/>
              </w:rPr>
              <w:t>GeoTIFF</w:t>
            </w:r>
          </w:p>
        </w:tc>
      </w:tr>
      <w:tr>
        <w:tc>
          <w:tcPr>
            <w:tcW w:type="dxa" w:w="680"/>
            <w:shd w:fill="E8F5E9" w:val="clear"/>
          </w:tcPr>
          <w:p>
            <w:pPr>
              <w:jc w:val="center"/>
            </w:pPr>
            <w:r/>
            <w:r>
              <w:rPr>
                <w:rFonts w:ascii="Calibri" w:hAnsi="Calibri"/>
                <w:b w:val="0"/>
                <w:sz w:val="20"/>
              </w:rPr>
              <w:t>4</w:t>
            </w:r>
          </w:p>
        </w:tc>
        <w:tc>
          <w:tcPr>
            <w:tcW w:type="dxa" w:w="6803"/>
          </w:tcPr>
          <w:p>
            <w:r/>
            <w:r>
              <w:rPr>
                <w:rFonts w:ascii="Calibri" w:hAnsi="Calibri"/>
                <w:b w:val="0"/>
                <w:sz w:val="20"/>
              </w:rPr>
              <w:t>Imagen pan-sharpened (resolución final 0.30 m)</w:t>
            </w:r>
          </w:p>
        </w:tc>
        <w:tc>
          <w:tcPr>
            <w:tcW w:type="dxa" w:w="1871"/>
          </w:tcPr>
          <w:p>
            <w:pPr>
              <w:jc w:val="center"/>
            </w:pPr>
            <w:r/>
            <w:r>
              <w:rPr>
                <w:rFonts w:ascii="Calibri" w:hAnsi="Calibri"/>
                <w:b w:val="0"/>
                <w:sz w:val="20"/>
              </w:rPr>
              <w:t>GeoTIFF</w:t>
            </w:r>
          </w:p>
        </w:tc>
      </w:tr>
      <w:tr>
        <w:tc>
          <w:tcPr>
            <w:tcW w:type="dxa" w:w="680"/>
            <w:shd w:fill="E8F5E9" w:val="clear"/>
          </w:tcPr>
          <w:p>
            <w:pPr>
              <w:jc w:val="center"/>
            </w:pPr>
            <w:r/>
            <w:r>
              <w:rPr>
                <w:rFonts w:ascii="Calibri" w:hAnsi="Calibri"/>
                <w:b w:val="0"/>
                <w:sz w:val="20"/>
              </w:rPr>
              <w:t>5</w:t>
            </w:r>
          </w:p>
        </w:tc>
        <w:tc>
          <w:tcPr>
            <w:tcW w:type="dxa" w:w="6803"/>
          </w:tcPr>
          <w:p>
            <w:r/>
            <w:r>
              <w:rPr>
                <w:rFonts w:ascii="Calibri" w:hAnsi="Calibri"/>
                <w:b w:val="0"/>
                <w:sz w:val="20"/>
              </w:rPr>
              <w:t>Índice de Vegetación de Diferencia Normalizada (NDVI)</w:t>
            </w:r>
          </w:p>
        </w:tc>
        <w:tc>
          <w:tcPr>
            <w:tcW w:type="dxa" w:w="1871"/>
          </w:tcPr>
          <w:p>
            <w:pPr>
              <w:jc w:val="center"/>
            </w:pPr>
            <w:r/>
            <w:r>
              <w:rPr>
                <w:rFonts w:ascii="Calibri" w:hAnsi="Calibri"/>
                <w:b w:val="0"/>
                <w:sz w:val="20"/>
              </w:rPr>
              <w:t>GeoTIFF</w:t>
            </w:r>
          </w:p>
        </w:tc>
      </w:tr>
      <w:tr>
        <w:tc>
          <w:tcPr>
            <w:tcW w:type="dxa" w:w="680"/>
            <w:shd w:fill="E8F5E9" w:val="clear"/>
          </w:tcPr>
          <w:p>
            <w:pPr>
              <w:jc w:val="center"/>
            </w:pPr>
            <w:r/>
            <w:r>
              <w:rPr>
                <w:rFonts w:ascii="Calibri" w:hAnsi="Calibri"/>
                <w:b w:val="0"/>
                <w:sz w:val="20"/>
              </w:rPr>
              <w:t>6</w:t>
            </w:r>
          </w:p>
        </w:tc>
        <w:tc>
          <w:tcPr>
            <w:tcW w:type="dxa" w:w="6803"/>
          </w:tcPr>
          <w:p>
            <w:r/>
            <w:r>
              <w:rPr>
                <w:rFonts w:ascii="Calibri" w:hAnsi="Calibri"/>
                <w:b w:val="0"/>
                <w:sz w:val="20"/>
              </w:rPr>
              <w:t>Archivo de máscara de nubes</w:t>
            </w:r>
          </w:p>
        </w:tc>
        <w:tc>
          <w:tcPr>
            <w:tcW w:type="dxa" w:w="1871"/>
          </w:tcPr>
          <w:p>
            <w:pPr>
              <w:jc w:val="center"/>
            </w:pPr>
            <w:r/>
            <w:r>
              <w:rPr>
                <w:rFonts w:ascii="Calibri" w:hAnsi="Calibri"/>
                <w:b w:val="0"/>
                <w:sz w:val="20"/>
              </w:rPr>
              <w:t>Shapefile</w:t>
            </w:r>
          </w:p>
        </w:tc>
      </w:tr>
      <w:tr>
        <w:tc>
          <w:tcPr>
            <w:tcW w:type="dxa" w:w="680"/>
            <w:shd w:fill="E8F5E9" w:val="clear"/>
          </w:tcPr>
          <w:p>
            <w:pPr>
              <w:jc w:val="center"/>
            </w:pPr>
            <w:r/>
            <w:r>
              <w:rPr>
                <w:rFonts w:ascii="Calibri" w:hAnsi="Calibri"/>
                <w:b w:val="0"/>
                <w:sz w:val="20"/>
              </w:rPr>
              <w:t>7</w:t>
            </w:r>
          </w:p>
        </w:tc>
        <w:tc>
          <w:tcPr>
            <w:tcW w:type="dxa" w:w="6803"/>
          </w:tcPr>
          <w:p>
            <w:r/>
            <w:r>
              <w:rPr>
                <w:rFonts w:ascii="Calibri" w:hAnsi="Calibri"/>
                <w:b w:val="0"/>
                <w:sz w:val="20"/>
              </w:rPr>
              <w:t>Metadatos completos del producto</w:t>
            </w:r>
          </w:p>
        </w:tc>
        <w:tc>
          <w:tcPr>
            <w:tcW w:type="dxa" w:w="1871"/>
          </w:tcPr>
          <w:p>
            <w:pPr>
              <w:jc w:val="center"/>
            </w:pPr>
            <w:r/>
            <w:r>
              <w:rPr>
                <w:rFonts w:ascii="Calibri" w:hAnsi="Calibri"/>
                <w:b w:val="0"/>
                <w:sz w:val="20"/>
              </w:rPr>
              <w:t>XML</w:t>
            </w:r>
          </w:p>
        </w:tc>
      </w:tr>
      <w:tr>
        <w:tc>
          <w:tcPr>
            <w:tcW w:type="dxa" w:w="680"/>
            <w:shd w:fill="E8F5E9" w:val="clear"/>
          </w:tcPr>
          <w:p>
            <w:pPr>
              <w:jc w:val="center"/>
            </w:pPr>
            <w:r/>
            <w:r>
              <w:rPr>
                <w:rFonts w:ascii="Calibri" w:hAnsi="Calibri"/>
                <w:b w:val="0"/>
                <w:sz w:val="20"/>
              </w:rPr>
              <w:t>8</w:t>
            </w:r>
          </w:p>
        </w:tc>
        <w:tc>
          <w:tcPr>
            <w:tcW w:type="dxa" w:w="6803"/>
          </w:tcPr>
          <w:p>
            <w:r/>
            <w:r>
              <w:rPr>
                <w:rFonts w:ascii="Calibri" w:hAnsi="Calibri"/>
                <w:b w:val="0"/>
                <w:sz w:val="20"/>
              </w:rPr>
              <w:t>Reporte técnico de procesamiento</w:t>
            </w:r>
          </w:p>
        </w:tc>
        <w:tc>
          <w:tcPr>
            <w:tcW w:type="dxa" w:w="1871"/>
          </w:tcPr>
          <w:p>
            <w:pPr>
              <w:jc w:val="center"/>
            </w:pPr>
            <w:r/>
            <w:r>
              <w:rPr>
                <w:rFonts w:ascii="Calibri" w:hAnsi="Calibri"/>
                <w:b w:val="0"/>
                <w:sz w:val="20"/>
              </w:rPr>
              <w:t>PDF</w:t>
            </w:r>
          </w:p>
        </w:tc>
      </w:tr>
    </w:tbl>
    <w:p/>
    <w:p>
      <w:r>
        <w:rPr>
          <w:rFonts w:ascii="Calibri" w:hAnsi="Calibri"/>
          <w:sz w:val="22"/>
        </w:rPr>
        <w:t>Los productos se entregan en el sistema de referencia espacial MAGNA-SIRGAS origen nacional, proyección UTM zona 18 Norte, listos para su integración con los archivos vectoriales del proyecto.</w:t>
      </w:r>
    </w:p>
    <w:p/>
    <w:p>
      <w:pPr>
        <w:pStyle w:val="Heading1"/>
      </w:pPr>
      <w:r>
        <w:rPr>
          <w:rFonts w:ascii="Calibri" w:hAnsi="Calibri"/>
          <w:color w:val="1B5E20"/>
        </w:rPr>
        <w:t>4. ESPECIFICACIONES TÉCNICAS GARANTIZADAS</w:t>
      </w:r>
    </w:p>
    <w:tbl>
      <w:tblPr>
        <w:tblStyle w:val="TableGrid"/>
        <w:tblW w:type="auto" w:w="0"/>
        <w:tblLook w:firstColumn="1" w:firstRow="1" w:lastColumn="0" w:lastRow="0" w:noHBand="0" w:noVBand="1" w:val="04A0"/>
      </w:tblPr>
      <w:tblGrid>
        <w:gridCol w:w="4703"/>
        <w:gridCol w:w="4703"/>
      </w:tblGrid>
      <w:tr>
        <w:tc>
          <w:tcPr>
            <w:tcW w:type="dxa" w:w="3402"/>
            <w:shd w:fill="1B5E20" w:val="clear"/>
          </w:tcPr>
          <w:p>
            <w:pPr>
              <w:jc w:val="center"/>
            </w:pPr>
            <w:r/>
            <w:r>
              <w:rPr>
                <w:rFonts w:ascii="Calibri" w:hAnsi="Calibri"/>
                <w:b/>
                <w:color w:val="FFFFFF"/>
                <w:sz w:val="20"/>
              </w:rPr>
              <w:t>Parámetro</w:t>
            </w:r>
          </w:p>
        </w:tc>
        <w:tc>
          <w:tcPr>
            <w:tcW w:type="dxa" w:w="5953"/>
            <w:shd w:fill="1B5E20" w:val="clear"/>
          </w:tcPr>
          <w:p>
            <w:pPr>
              <w:jc w:val="center"/>
            </w:pPr>
            <w:r/>
            <w:r>
              <w:rPr>
                <w:rFonts w:ascii="Calibri" w:hAnsi="Calibri"/>
                <w:b/>
                <w:color w:val="FFFFFF"/>
                <w:sz w:val="20"/>
              </w:rPr>
              <w:t>Especificación</w:t>
            </w:r>
          </w:p>
        </w:tc>
      </w:tr>
      <w:tr>
        <w:tc>
          <w:tcPr>
            <w:tcW w:type="dxa" w:w="3402"/>
            <w:shd w:fill="E8F5E9" w:val="clear"/>
          </w:tcPr>
          <w:p>
            <w:r/>
            <w:r>
              <w:rPr>
                <w:rFonts w:ascii="Calibri" w:hAnsi="Calibri"/>
                <w:b/>
                <w:sz w:val="20"/>
              </w:rPr>
              <w:t>Resolución pancromática</w:t>
            </w:r>
          </w:p>
        </w:tc>
        <w:tc>
          <w:tcPr>
            <w:tcW w:type="dxa" w:w="5953"/>
          </w:tcPr>
          <w:p>
            <w:r/>
            <w:r>
              <w:rPr>
                <w:rFonts w:ascii="Calibri" w:hAnsi="Calibri"/>
                <w:b w:val="0"/>
                <w:sz w:val="20"/>
              </w:rPr>
              <w:t>0.30 metros</w:t>
            </w:r>
          </w:p>
        </w:tc>
      </w:tr>
      <w:tr>
        <w:tc>
          <w:tcPr>
            <w:tcW w:type="dxa" w:w="3402"/>
            <w:shd w:fill="E8F5E9" w:val="clear"/>
          </w:tcPr>
          <w:p>
            <w:r/>
            <w:r>
              <w:rPr>
                <w:rFonts w:ascii="Calibri" w:hAnsi="Calibri"/>
                <w:b/>
                <w:sz w:val="20"/>
              </w:rPr>
              <w:t>Resolución multiespectral</w:t>
            </w:r>
          </w:p>
        </w:tc>
        <w:tc>
          <w:tcPr>
            <w:tcW w:type="dxa" w:w="5953"/>
          </w:tcPr>
          <w:p>
            <w:r/>
            <w:r>
              <w:rPr>
                <w:rFonts w:ascii="Calibri" w:hAnsi="Calibri"/>
                <w:b w:val="0"/>
                <w:sz w:val="20"/>
              </w:rPr>
              <w:t>1.20 metros</w:t>
            </w:r>
          </w:p>
        </w:tc>
      </w:tr>
      <w:tr>
        <w:tc>
          <w:tcPr>
            <w:tcW w:type="dxa" w:w="3402"/>
            <w:shd w:fill="E8F5E9" w:val="clear"/>
          </w:tcPr>
          <w:p>
            <w:r/>
            <w:r>
              <w:rPr>
                <w:rFonts w:ascii="Calibri" w:hAnsi="Calibri"/>
                <w:b/>
                <w:sz w:val="20"/>
              </w:rPr>
              <w:t>Resolución pan-sharpened final</w:t>
            </w:r>
          </w:p>
        </w:tc>
        <w:tc>
          <w:tcPr>
            <w:tcW w:type="dxa" w:w="5953"/>
          </w:tcPr>
          <w:p>
            <w:r/>
            <w:r>
              <w:rPr>
                <w:rFonts w:ascii="Calibri" w:hAnsi="Calibri"/>
                <w:b w:val="0"/>
                <w:sz w:val="20"/>
              </w:rPr>
              <w:t>0.30 metros</w:t>
            </w:r>
          </w:p>
        </w:tc>
      </w:tr>
      <w:tr>
        <w:tc>
          <w:tcPr>
            <w:tcW w:type="dxa" w:w="3402"/>
            <w:shd w:fill="E8F5E9" w:val="clear"/>
          </w:tcPr>
          <w:p>
            <w:r/>
            <w:r>
              <w:rPr>
                <w:rFonts w:ascii="Calibri" w:hAnsi="Calibri"/>
                <w:b/>
                <w:sz w:val="20"/>
              </w:rPr>
              <w:t>Procesamiento geométrico</w:t>
            </w:r>
          </w:p>
        </w:tc>
        <w:tc>
          <w:tcPr>
            <w:tcW w:type="dxa" w:w="5953"/>
          </w:tcPr>
          <w:p>
            <w:r/>
            <w:r>
              <w:rPr>
                <w:rFonts w:ascii="Calibri" w:hAnsi="Calibri"/>
                <w:b w:val="0"/>
                <w:sz w:val="20"/>
              </w:rPr>
              <w:t>Ortorrectificación con modelo digital de elevación</w:t>
            </w:r>
          </w:p>
        </w:tc>
      </w:tr>
      <w:tr>
        <w:tc>
          <w:tcPr>
            <w:tcW w:type="dxa" w:w="3402"/>
            <w:shd w:fill="E8F5E9" w:val="clear"/>
          </w:tcPr>
          <w:p>
            <w:r/>
            <w:r>
              <w:rPr>
                <w:rFonts w:ascii="Calibri" w:hAnsi="Calibri"/>
                <w:b/>
                <w:sz w:val="20"/>
              </w:rPr>
              <w:t>Precisión posicional</w:t>
            </w:r>
          </w:p>
        </w:tc>
        <w:tc>
          <w:tcPr>
            <w:tcW w:type="dxa" w:w="5953"/>
          </w:tcPr>
          <w:p>
            <w:r/>
            <w:r>
              <w:rPr>
                <w:rFonts w:ascii="Calibri" w:hAnsi="Calibri"/>
                <w:b w:val="0"/>
                <w:sz w:val="20"/>
              </w:rPr>
              <w:t>&lt; 5.0 m CE90</w:t>
            </w:r>
          </w:p>
        </w:tc>
      </w:tr>
      <w:tr>
        <w:tc>
          <w:tcPr>
            <w:tcW w:type="dxa" w:w="3402"/>
            <w:shd w:fill="E8F5E9" w:val="clear"/>
          </w:tcPr>
          <w:p>
            <w:r/>
            <w:r>
              <w:rPr>
                <w:rFonts w:ascii="Calibri" w:hAnsi="Calibri"/>
                <w:b/>
                <w:sz w:val="20"/>
              </w:rPr>
              <w:t>Sistema de referencia</w:t>
            </w:r>
          </w:p>
        </w:tc>
        <w:tc>
          <w:tcPr>
            <w:tcW w:type="dxa" w:w="5953"/>
          </w:tcPr>
          <w:p>
            <w:r/>
            <w:r>
              <w:rPr>
                <w:rFonts w:ascii="Calibri" w:hAnsi="Calibri"/>
                <w:b w:val="0"/>
                <w:sz w:val="20"/>
              </w:rPr>
              <w:t>MAGNA-SIRGAS origen nacional</w:t>
            </w:r>
          </w:p>
        </w:tc>
      </w:tr>
      <w:tr>
        <w:tc>
          <w:tcPr>
            <w:tcW w:type="dxa" w:w="3402"/>
            <w:shd w:fill="E8F5E9" w:val="clear"/>
          </w:tcPr>
          <w:p>
            <w:r/>
            <w:r>
              <w:rPr>
                <w:rFonts w:ascii="Calibri" w:hAnsi="Calibri"/>
                <w:b/>
                <w:sz w:val="20"/>
              </w:rPr>
              <w:t>Proyección</w:t>
            </w:r>
          </w:p>
        </w:tc>
        <w:tc>
          <w:tcPr>
            <w:tcW w:type="dxa" w:w="5953"/>
          </w:tcPr>
          <w:p>
            <w:r/>
            <w:r>
              <w:rPr>
                <w:rFonts w:ascii="Calibri" w:hAnsi="Calibri"/>
                <w:b w:val="0"/>
                <w:sz w:val="20"/>
              </w:rPr>
              <w:t>UTM Zona 18 Norte</w:t>
            </w:r>
          </w:p>
        </w:tc>
      </w:tr>
      <w:tr>
        <w:tc>
          <w:tcPr>
            <w:tcW w:type="dxa" w:w="3402"/>
            <w:shd w:fill="E8F5E9" w:val="clear"/>
          </w:tcPr>
          <w:p>
            <w:r/>
            <w:r>
              <w:rPr>
                <w:rFonts w:ascii="Calibri" w:hAnsi="Calibri"/>
                <w:b/>
                <w:sz w:val="20"/>
              </w:rPr>
              <w:t>Corrección radiométrica</w:t>
            </w:r>
          </w:p>
        </w:tc>
        <w:tc>
          <w:tcPr>
            <w:tcW w:type="dxa" w:w="5953"/>
          </w:tcPr>
          <w:p>
            <w:r/>
            <w:r>
              <w:rPr>
                <w:rFonts w:ascii="Calibri" w:hAnsi="Calibri"/>
                <w:b w:val="0"/>
                <w:sz w:val="20"/>
              </w:rPr>
              <w:t>Incluida</w:t>
            </w:r>
          </w:p>
        </w:tc>
      </w:tr>
      <w:tr>
        <w:tc>
          <w:tcPr>
            <w:tcW w:type="dxa" w:w="3402"/>
            <w:shd w:fill="E8F5E9" w:val="clear"/>
          </w:tcPr>
          <w:p>
            <w:r/>
            <w:r>
              <w:rPr>
                <w:rFonts w:ascii="Calibri" w:hAnsi="Calibri"/>
                <w:b/>
                <w:sz w:val="20"/>
              </w:rPr>
              <w:t>Corrección atmosférica</w:t>
            </w:r>
          </w:p>
        </w:tc>
        <w:tc>
          <w:tcPr>
            <w:tcW w:type="dxa" w:w="5953"/>
          </w:tcPr>
          <w:p>
            <w:r/>
            <w:r>
              <w:rPr>
                <w:rFonts w:ascii="Calibri" w:hAnsi="Calibri"/>
                <w:b w:val="0"/>
                <w:sz w:val="20"/>
              </w:rPr>
              <w:t>Incluida (reflectancia de superficie)</w:t>
            </w:r>
          </w:p>
        </w:tc>
      </w:tr>
      <w:tr>
        <w:tc>
          <w:tcPr>
            <w:tcW w:type="dxa" w:w="3402"/>
            <w:shd w:fill="E8F5E9" w:val="clear"/>
          </w:tcPr>
          <w:p>
            <w:r/>
            <w:r>
              <w:rPr>
                <w:rFonts w:ascii="Calibri" w:hAnsi="Calibri"/>
                <w:b/>
                <w:sz w:val="20"/>
              </w:rPr>
              <w:t>Balance radiométrico</w:t>
            </w:r>
          </w:p>
        </w:tc>
        <w:tc>
          <w:tcPr>
            <w:tcW w:type="dxa" w:w="5953"/>
          </w:tcPr>
          <w:p>
            <w:r/>
            <w:r>
              <w:rPr>
                <w:rFonts w:ascii="Calibri" w:hAnsi="Calibri"/>
                <w:b w:val="0"/>
                <w:sz w:val="20"/>
              </w:rPr>
              <w:t>Incluido</w:t>
            </w:r>
          </w:p>
        </w:tc>
      </w:tr>
      <w:tr>
        <w:tc>
          <w:tcPr>
            <w:tcW w:type="dxa" w:w="3402"/>
            <w:shd w:fill="E8F5E9" w:val="clear"/>
          </w:tcPr>
          <w:p>
            <w:r/>
            <w:r>
              <w:rPr>
                <w:rFonts w:ascii="Calibri" w:hAnsi="Calibri"/>
                <w:b/>
                <w:sz w:val="20"/>
              </w:rPr>
              <w:t>Máscara de nubes</w:t>
            </w:r>
          </w:p>
        </w:tc>
        <w:tc>
          <w:tcPr>
            <w:tcW w:type="dxa" w:w="5953"/>
          </w:tcPr>
          <w:p>
            <w:r/>
            <w:r>
              <w:rPr>
                <w:rFonts w:ascii="Calibri" w:hAnsi="Calibri"/>
                <w:b w:val="0"/>
                <w:sz w:val="20"/>
              </w:rPr>
              <w:t>Incluida</w:t>
            </w:r>
          </w:p>
        </w:tc>
      </w:tr>
      <w:tr>
        <w:tc>
          <w:tcPr>
            <w:tcW w:type="dxa" w:w="3402"/>
            <w:shd w:fill="E8F5E9" w:val="clear"/>
          </w:tcPr>
          <w:p>
            <w:r/>
            <w:r>
              <w:rPr>
                <w:rFonts w:ascii="Calibri" w:hAnsi="Calibri"/>
                <w:b/>
                <w:sz w:val="20"/>
              </w:rPr>
              <w:t>Nubosidad máxima sobre el AOI</w:t>
            </w:r>
          </w:p>
        </w:tc>
        <w:tc>
          <w:tcPr>
            <w:tcW w:type="dxa" w:w="5953"/>
          </w:tcPr>
          <w:p>
            <w:r/>
            <w:r>
              <w:rPr>
                <w:rFonts w:ascii="Calibri" w:hAnsi="Calibri"/>
                <w:b w:val="0"/>
                <w:sz w:val="20"/>
              </w:rPr>
              <w:t>10%</w:t>
            </w:r>
          </w:p>
        </w:tc>
      </w:tr>
      <w:tr>
        <w:tc>
          <w:tcPr>
            <w:tcW w:type="dxa" w:w="3402"/>
            <w:shd w:fill="E8F5E9" w:val="clear"/>
          </w:tcPr>
          <w:p>
            <w:r/>
            <w:r>
              <w:rPr>
                <w:rFonts w:ascii="Calibri" w:hAnsi="Calibri"/>
                <w:b/>
                <w:sz w:val="20"/>
              </w:rPr>
              <w:t>Formato de entrega</w:t>
            </w:r>
          </w:p>
        </w:tc>
        <w:tc>
          <w:tcPr>
            <w:tcW w:type="dxa" w:w="5953"/>
          </w:tcPr>
          <w:p>
            <w:r/>
            <w:r>
              <w:rPr>
                <w:rFonts w:ascii="Calibri" w:hAnsi="Calibri"/>
                <w:b w:val="0"/>
                <w:sz w:val="20"/>
              </w:rPr>
              <w:t>GeoTIFF (1 banda por archivo)</w:t>
            </w:r>
          </w:p>
        </w:tc>
      </w:tr>
      <w:tr>
        <w:tc>
          <w:tcPr>
            <w:tcW w:type="dxa" w:w="3402"/>
            <w:shd w:fill="E8F5E9" w:val="clear"/>
          </w:tcPr>
          <w:p>
            <w:r/>
            <w:r>
              <w:rPr>
                <w:rFonts w:ascii="Calibri" w:hAnsi="Calibri"/>
                <w:b/>
                <w:sz w:val="20"/>
              </w:rPr>
              <w:t>Bandas multiespectrales</w:t>
            </w:r>
          </w:p>
        </w:tc>
        <w:tc>
          <w:tcPr>
            <w:tcW w:type="dxa" w:w="5953"/>
          </w:tcPr>
          <w:p>
            <w:r/>
            <w:r>
              <w:rPr>
                <w:rFonts w:ascii="Calibri" w:hAnsi="Calibri"/>
                <w:b w:val="0"/>
                <w:sz w:val="20"/>
              </w:rPr>
              <w:t>RGB, NIR, Red Edge, Coastal Blue</w:t>
            </w:r>
          </w:p>
        </w:tc>
      </w:tr>
    </w:tbl>
    <w:p/>
    <w:p>
      <w:pPr>
        <w:pStyle w:val="Heading1"/>
      </w:pPr>
      <w:r>
        <w:rPr>
          <w:rFonts w:ascii="Calibri" w:hAnsi="Calibri"/>
          <w:color w:val="1B5E20"/>
        </w:rPr>
        <w:t>5. TEMPORALIDAD</w:t>
      </w:r>
    </w:p>
    <w:p>
      <w:r>
        <w:rPr>
          <w:rFonts w:ascii="Calibri" w:hAnsi="Calibri"/>
          <w:sz w:val="22"/>
        </w:rPr>
        <w:t>Se garantiza que cada imagen entregada tiene una fecha de adquisición no superior a seis (6) meses respecto a la fecha de solicitud, con preferencia por imágenes de los últimos tres meses, en correspondencia con las actividades de levantamiento y caracterización predial en ejecución.</w:t>
      </w:r>
    </w:p>
    <w:p>
      <w:r>
        <w:rPr>
          <w:rFonts w:ascii="Calibri" w:hAnsi="Calibri"/>
          <w:sz w:val="22"/>
        </w:rPr>
        <w:t>Se realiza una búsqueda exhaustiva en archivo satelital para identificar las mejores escenas disponibles que cumplan simultáneamente los criterios de temporalidad, resolución espacial y cobertura de nubes (≤10%).</w:t>
      </w:r>
    </w:p>
    <w:p/>
    <w:p>
      <w:pPr>
        <w:pStyle w:val="Heading1"/>
      </w:pPr>
      <w:r>
        <w:rPr>
          <w:rFonts w:ascii="Calibri" w:hAnsi="Calibri"/>
          <w:color w:val="1B5E20"/>
        </w:rPr>
        <w:t>6. CRONOGRAMA DE ENTREGA</w:t>
      </w:r>
    </w:p>
    <w:p>
      <w:pPr>
        <w:pStyle w:val="Heading2"/>
      </w:pPr>
      <w:r>
        <w:rPr>
          <w:rFonts w:ascii="Calibri" w:hAnsi="Calibri"/>
          <w:color w:val="1B5E20"/>
        </w:rPr>
        <w:t>6.1 Entrega con imágenes de archivo (escenario habitual)</w:t>
      </w:r>
    </w:p>
    <w:tbl>
      <w:tblPr>
        <w:tblStyle w:val="TableGrid"/>
        <w:tblW w:type="auto" w:w="0"/>
        <w:tblLook w:firstColumn="1" w:firstRow="1" w:lastColumn="0" w:lastRow="0" w:noHBand="0" w:noVBand="1" w:val="04A0"/>
      </w:tblPr>
      <w:tblGrid>
        <w:gridCol w:w="4703"/>
        <w:gridCol w:w="4703"/>
      </w:tblGrid>
      <w:tr>
        <w:tc>
          <w:tcPr>
            <w:tcW w:type="dxa" w:w="6803"/>
            <w:shd w:fill="1B5E20" w:val="clear"/>
          </w:tcPr>
          <w:p>
            <w:pPr>
              <w:jc w:val="center"/>
            </w:pPr>
            <w:r/>
            <w:r>
              <w:rPr>
                <w:rFonts w:ascii="Calibri" w:hAnsi="Calibri"/>
                <w:b/>
                <w:color w:val="FFFFFF"/>
                <w:sz w:val="20"/>
              </w:rPr>
              <w:t>Hito</w:t>
            </w:r>
          </w:p>
        </w:tc>
        <w:tc>
          <w:tcPr>
            <w:tcW w:type="dxa" w:w="2551"/>
            <w:shd w:fill="1B5E20" w:val="clear"/>
          </w:tcPr>
          <w:p>
            <w:pPr>
              <w:jc w:val="center"/>
            </w:pPr>
            <w:r/>
            <w:r>
              <w:rPr>
                <w:rFonts w:ascii="Calibri" w:hAnsi="Calibri"/>
                <w:b/>
                <w:color w:val="FFFFFF"/>
                <w:sz w:val="20"/>
              </w:rPr>
              <w:t>Plazo desde la orden</w:t>
            </w:r>
          </w:p>
        </w:tc>
      </w:tr>
      <w:tr>
        <w:tc>
          <w:tcPr>
            <w:tcW w:type="dxa" w:w="6803"/>
          </w:tcPr>
          <w:p>
            <w:r/>
            <w:r>
              <w:rPr>
                <w:rFonts w:ascii="Calibri" w:hAnsi="Calibri"/>
                <w:b w:val="0"/>
                <w:sz w:val="20"/>
              </w:rPr>
              <w:t>Búsqueda y selección de escenas en archivo</w:t>
            </w:r>
          </w:p>
        </w:tc>
        <w:tc>
          <w:tcPr>
            <w:tcW w:type="dxa" w:w="2551"/>
          </w:tcPr>
          <w:p>
            <w:pPr>
              <w:jc w:val="center"/>
            </w:pPr>
            <w:r/>
            <w:r>
              <w:rPr>
                <w:rFonts w:ascii="Calibri" w:hAnsi="Calibri"/>
                <w:b/>
                <w:sz w:val="20"/>
              </w:rPr>
              <w:t>2 días hábiles</w:t>
            </w:r>
          </w:p>
        </w:tc>
      </w:tr>
      <w:tr>
        <w:tc>
          <w:tcPr>
            <w:tcW w:type="dxa" w:w="6803"/>
          </w:tcPr>
          <w:p>
            <w:r/>
            <w:r>
              <w:rPr>
                <w:rFonts w:ascii="Calibri" w:hAnsi="Calibri"/>
                <w:b w:val="0"/>
                <w:sz w:val="20"/>
              </w:rPr>
              <w:t>Adquisición y procesamiento</w:t>
            </w:r>
          </w:p>
        </w:tc>
        <w:tc>
          <w:tcPr>
            <w:tcW w:type="dxa" w:w="2551"/>
          </w:tcPr>
          <w:p>
            <w:pPr>
              <w:jc w:val="center"/>
            </w:pPr>
            <w:r/>
            <w:r>
              <w:rPr>
                <w:rFonts w:ascii="Calibri" w:hAnsi="Calibri"/>
                <w:b/>
                <w:sz w:val="20"/>
              </w:rPr>
              <w:t>3 días hábiles</w:t>
            </w:r>
          </w:p>
        </w:tc>
      </w:tr>
      <w:tr>
        <w:tc>
          <w:tcPr>
            <w:tcW w:type="dxa" w:w="6803"/>
          </w:tcPr>
          <w:p>
            <w:r/>
            <w:r>
              <w:rPr>
                <w:rFonts w:ascii="Calibri" w:hAnsi="Calibri"/>
                <w:b w:val="0"/>
                <w:sz w:val="20"/>
              </w:rPr>
              <w:t>Validación de calidad y reproyección a MAGNA-SIRGAS</w:t>
            </w:r>
          </w:p>
        </w:tc>
        <w:tc>
          <w:tcPr>
            <w:tcW w:type="dxa" w:w="2551"/>
          </w:tcPr>
          <w:p>
            <w:pPr>
              <w:jc w:val="center"/>
            </w:pPr>
            <w:r/>
            <w:r>
              <w:rPr>
                <w:rFonts w:ascii="Calibri" w:hAnsi="Calibri"/>
                <w:b/>
                <w:sz w:val="20"/>
              </w:rPr>
              <w:t>2 días hábiles</w:t>
            </w:r>
          </w:p>
        </w:tc>
      </w:tr>
      <w:tr>
        <w:tc>
          <w:tcPr>
            <w:tcW w:type="dxa" w:w="6803"/>
            <w:shd w:fill="E8F5E9" w:val="clear"/>
          </w:tcPr>
          <w:p>
            <w:r/>
            <w:r>
              <w:rPr>
                <w:rFonts w:ascii="Calibri" w:hAnsi="Calibri"/>
                <w:b w:val="0"/>
                <w:sz w:val="20"/>
              </w:rPr>
              <w:t>Entrega final con reporte técnico</w:t>
            </w:r>
          </w:p>
        </w:tc>
        <w:tc>
          <w:tcPr>
            <w:tcW w:type="dxa" w:w="2551"/>
          </w:tcPr>
          <w:p>
            <w:pPr>
              <w:jc w:val="center"/>
            </w:pPr>
            <w:r/>
            <w:r>
              <w:rPr>
                <w:rFonts w:ascii="Calibri" w:hAnsi="Calibri"/>
                <w:b/>
                <w:sz w:val="20"/>
              </w:rPr>
              <w:t>7 días hábiles</w:t>
            </w:r>
          </w:p>
        </w:tc>
      </w:tr>
    </w:tbl>
    <w:p/>
    <w:p>
      <w:pPr>
        <w:pStyle w:val="Heading2"/>
      </w:pPr>
      <w:r>
        <w:rPr>
          <w:rFonts w:ascii="Calibri" w:hAnsi="Calibri"/>
          <w:color w:val="1B5E20"/>
        </w:rPr>
        <w:t>6.2 Entrega con nueva adquisición programada (escenario alternativo)</w:t>
      </w:r>
    </w:p>
    <w:p>
      <w:r>
        <w:rPr>
          <w:rFonts w:ascii="Calibri" w:hAnsi="Calibri"/>
          <w:sz w:val="22"/>
        </w:rPr>
        <w:t>En el caso poco frecuente de que el archivo no contenga imágenes adecuadas y se requiera programar una nueva captura satelital (ver sección 8.2), el plazo estimado de entrega será de 30 a 90 días calendario a partir de la autorización del contratante, en función de las condiciones meteorológicas de la zona y la ventana de captura del sensor.</w:t>
      </w:r>
    </w:p>
    <w:p/>
    <w:p>
      <w:pPr>
        <w:pStyle w:val="Heading1"/>
      </w:pPr>
      <w:r>
        <w:rPr>
          <w:rFonts w:ascii="Calibri" w:hAnsi="Calibri"/>
          <w:color w:val="1B5E20"/>
        </w:rPr>
        <w:t>7. PROPUESTA ECONÓMICA</w:t>
      </w:r>
    </w:p>
    <w:p>
      <w:r>
        <w:rPr>
          <w:rFonts w:ascii="Calibri" w:hAnsi="Calibri"/>
          <w:sz w:val="22"/>
        </w:rPr>
        <w:t>Precio de lanzamiento por tratarse del primer proyecto en esta zona de intervención.</w:t>
      </w:r>
    </w:p>
    <w:p/>
    <w:p>
      <w:pPr>
        <w:pStyle w:val="Heading2"/>
      </w:pPr>
      <w:r>
        <w:rPr>
          <w:rFonts w:ascii="Calibri" w:hAnsi="Calibri"/>
          <w:color w:val="1B5E20"/>
        </w:rPr>
        <w:t>7.1 Adquisición baseline — Responde al presente requerimiento</w:t>
      </w:r>
    </w:p>
    <w:p>
      <w:r>
        <w:rPr>
          <w:rFonts w:ascii="Calibri" w:hAnsi="Calibri"/>
          <w:sz w:val="22"/>
        </w:rPr>
        <w:t>La presente cotización corresponde a una (1) fecha de adquisición que cubre la totalidad de las áreas de intervención (2 polígonos: Vista Hermosa y La Macarena, aproximadamente 735 hectáreas en total), conforme a lo solicitado en los términos de referencia para la fase de levantamiento y caracterización predial.</w:t>
      </w:r>
    </w:p>
    <w:p/>
    <w:tbl>
      <w:tblPr>
        <w:tblStyle w:val="TableGrid"/>
        <w:tblW w:type="auto" w:w="0"/>
        <w:tblLook w:firstColumn="1" w:firstRow="1" w:lastColumn="0" w:lastRow="0" w:noHBand="0" w:noVBand="1" w:val="04A0"/>
      </w:tblPr>
      <w:tblGrid>
        <w:gridCol w:w="4703"/>
        <w:gridCol w:w="4703"/>
      </w:tblGrid>
      <w:tr>
        <w:tc>
          <w:tcPr>
            <w:tcW w:type="dxa" w:w="7654"/>
            <w:shd w:fill="1B5E20" w:val="clear"/>
          </w:tcPr>
          <w:p>
            <w:pPr>
              <w:jc w:val="center"/>
            </w:pPr>
            <w:r/>
            <w:r>
              <w:rPr>
                <w:rFonts w:ascii="Calibri" w:hAnsi="Calibri"/>
                <w:b/>
                <w:color w:val="FFFFFF"/>
                <w:sz w:val="20"/>
              </w:rPr>
              <w:t>Concepto</w:t>
            </w:r>
          </w:p>
        </w:tc>
        <w:tc>
          <w:tcPr>
            <w:tcW w:type="dxa" w:w="1701"/>
            <w:shd w:fill="1B5E20" w:val="clear"/>
          </w:tcPr>
          <w:p>
            <w:pPr>
              <w:jc w:val="center"/>
            </w:pPr>
            <w:r/>
            <w:r>
              <w:rPr>
                <w:rFonts w:ascii="Calibri" w:hAnsi="Calibri"/>
                <w:b/>
                <w:color w:val="FFFFFF"/>
                <w:sz w:val="20"/>
              </w:rPr>
              <w:t>Valor</w:t>
            </w:r>
          </w:p>
        </w:tc>
      </w:tr>
      <w:tr>
        <w:tc>
          <w:tcPr>
            <w:tcW w:type="dxa" w:w="7654"/>
          </w:tcPr>
          <w:p>
            <w:r/>
            <w:r>
              <w:rPr>
                <w:rFonts w:ascii="Calibri" w:hAnsi="Calibri"/>
                <w:b w:val="0"/>
                <w:sz w:val="20"/>
              </w:rPr>
              <w:t>Paquete completo baseline (2 polígonos, 1 fecha de adquisición, 8 productos incluido NDVI)</w:t>
            </w:r>
          </w:p>
        </w:tc>
        <w:tc>
          <w:tcPr>
            <w:tcW w:type="dxa" w:w="1701"/>
          </w:tcPr>
          <w:p>
            <w:r/>
            <w:r>
              <w:rPr>
                <w:rFonts w:ascii="Calibri" w:hAnsi="Calibri"/>
                <w:b w:val="0"/>
                <w:sz w:val="20"/>
              </w:rPr>
              <w:t>$6.200.000 COP</w:t>
            </w:r>
          </w:p>
        </w:tc>
      </w:tr>
    </w:tbl>
    <w:p/>
    <w:p>
      <w:pPr>
        <w:pStyle w:val="Heading2"/>
      </w:pPr>
      <w:r>
        <w:rPr>
          <w:rFonts w:ascii="Calibri" w:hAnsi="Calibri"/>
          <w:color w:val="1B5E20"/>
        </w:rPr>
        <w:t>7.2 Servicio complementario — Monitoreo futuro (opcional, no incluido)</w:t>
      </w:r>
    </w:p>
    <w:p>
      <w:r>
        <w:rPr>
          <w:rFonts w:ascii="Calibri" w:hAnsi="Calibri"/>
          <w:sz w:val="22"/>
        </w:rPr>
        <w:t>Como valor agregado, ofrecemos la posibilidad de una segunda adquisición en fecha posterior (por ejemplo, para verificar el avance de las actividades de restauración y establecimiento de sistemas agroforestales). Este servicio no hace parte de la presente cotización y podrá ser solicitado por el contratante en el momento que lo considere necesario, bajo las mismas condiciones técnicas de calidad.</w:t>
      </w:r>
    </w:p>
    <w:p/>
    <w:tbl>
      <w:tblPr>
        <w:tblStyle w:val="TableGrid"/>
        <w:tblW w:type="auto" w:w="0"/>
        <w:tblLook w:firstColumn="1" w:firstRow="1" w:lastColumn="0" w:lastRow="0" w:noHBand="0" w:noVBand="1" w:val="04A0"/>
      </w:tblPr>
      <w:tblGrid>
        <w:gridCol w:w="4703"/>
        <w:gridCol w:w="4703"/>
      </w:tblGrid>
      <w:tr>
        <w:tc>
          <w:tcPr>
            <w:tcW w:type="dxa" w:w="7654"/>
            <w:shd w:fill="1B5E20" w:val="clear"/>
          </w:tcPr>
          <w:p>
            <w:pPr>
              <w:jc w:val="center"/>
            </w:pPr>
            <w:r/>
            <w:r>
              <w:rPr>
                <w:rFonts w:ascii="Calibri" w:hAnsi="Calibri"/>
                <w:b/>
                <w:color w:val="FFFFFF"/>
                <w:sz w:val="20"/>
              </w:rPr>
              <w:t>Concepto</w:t>
            </w:r>
          </w:p>
        </w:tc>
        <w:tc>
          <w:tcPr>
            <w:tcW w:type="dxa" w:w="1701"/>
            <w:shd w:fill="1B5E20" w:val="clear"/>
          </w:tcPr>
          <w:p>
            <w:pPr>
              <w:jc w:val="center"/>
            </w:pPr>
            <w:r/>
            <w:r>
              <w:rPr>
                <w:rFonts w:ascii="Calibri" w:hAnsi="Calibri"/>
                <w:b/>
                <w:color w:val="FFFFFF"/>
                <w:sz w:val="20"/>
              </w:rPr>
              <w:t>Valor</w:t>
            </w:r>
          </w:p>
        </w:tc>
      </w:tr>
      <w:tr>
        <w:tc>
          <w:tcPr>
            <w:tcW w:type="dxa" w:w="7654"/>
          </w:tcPr>
          <w:p>
            <w:r/>
            <w:r>
              <w:rPr>
                <w:rFonts w:ascii="Calibri" w:hAnsi="Calibri"/>
                <w:b w:val="0"/>
                <w:sz w:val="20"/>
              </w:rPr>
              <w:t>Segunda fecha de adquisición (2 polígonos, contratada en fecha futura)</w:t>
            </w:r>
          </w:p>
        </w:tc>
        <w:tc>
          <w:tcPr>
            <w:tcW w:type="dxa" w:w="1701"/>
          </w:tcPr>
          <w:p>
            <w:r/>
            <w:r>
              <w:rPr>
                <w:rFonts w:ascii="Calibri" w:hAnsi="Calibri"/>
                <w:b w:val="0"/>
                <w:sz w:val="20"/>
              </w:rPr>
              <w:t>$3.100.000 COP</w:t>
            </w:r>
          </w:p>
        </w:tc>
      </w:tr>
    </w:tbl>
    <w:p/>
    <w:p>
      <w:pPr>
        <w:pStyle w:val="Heading2"/>
      </w:pPr>
      <w:r>
        <w:rPr>
          <w:rFonts w:ascii="Calibri" w:hAnsi="Calibri"/>
          <w:color w:val="1B5E20"/>
        </w:rPr>
        <w:t>7.3 Condiciones generales de la oferta</w:t>
      </w:r>
    </w:p>
    <w:p>
      <w:r>
        <w:rPr>
          <w:rFonts w:ascii="Calibri" w:hAnsi="Calibri"/>
          <w:b/>
          <w:sz w:val="22"/>
        </w:rPr>
        <w:t>El precio incluye:</w:t>
      </w:r>
    </w:p>
    <w:p>
      <w:pPr>
        <w:pStyle w:val="ListBullet"/>
      </w:pPr>
      <w:r>
        <w:rPr>
          <w:rFonts w:ascii="Calibri" w:hAnsi="Calibri"/>
          <w:sz w:val="22"/>
        </w:rPr>
        <w:t>Búsqueda y selección de las mejores escenas disponibles en archivo satelital</w:t>
      </w:r>
    </w:p>
    <w:p>
      <w:pPr>
        <w:pStyle w:val="ListBullet"/>
      </w:pPr>
      <w:r>
        <w:rPr>
          <w:rFonts w:ascii="Calibri" w:hAnsi="Calibri"/>
          <w:sz w:val="22"/>
        </w:rPr>
        <w:t>Adquisición de imágenes con resolución espacial de 0.30 m</w:t>
      </w:r>
    </w:p>
    <w:p>
      <w:pPr>
        <w:pStyle w:val="ListBullet"/>
      </w:pPr>
      <w:r>
        <w:rPr>
          <w:rFonts w:ascii="Calibri" w:hAnsi="Calibri"/>
          <w:sz w:val="22"/>
        </w:rPr>
        <w:t>Procesamiento completo (ortorrectificación, pan-sharpening, cálculo de NDVI, correcciones radiométricas y atmosféricas, balance radiométrico, máscara de nubes)</w:t>
      </w:r>
    </w:p>
    <w:p>
      <w:pPr>
        <w:pStyle w:val="ListBullet"/>
      </w:pPr>
      <w:r>
        <w:rPr>
          <w:rFonts w:ascii="Calibri" w:hAnsi="Calibri"/>
          <w:sz w:val="22"/>
        </w:rPr>
        <w:t>Reproyección a MAGNA-SIRGAS origen nacional / UTM Zona 18N</w:t>
      </w:r>
    </w:p>
    <w:p>
      <w:pPr>
        <w:pStyle w:val="ListBullet"/>
      </w:pPr>
      <w:r>
        <w:rPr>
          <w:rFonts w:ascii="Calibri" w:hAnsi="Calibri"/>
          <w:sz w:val="22"/>
        </w:rPr>
        <w:t>Todos los productos listados en la sección 3</w:t>
      </w:r>
    </w:p>
    <w:p>
      <w:pPr>
        <w:pStyle w:val="ListBullet"/>
      </w:pPr>
      <w:r>
        <w:rPr>
          <w:rFonts w:ascii="Calibri" w:hAnsi="Calibri"/>
          <w:sz w:val="22"/>
        </w:rPr>
        <w:t>Reporte técnico detallado</w:t>
      </w:r>
    </w:p>
    <w:p>
      <w:pPr>
        <w:pStyle w:val="ListBullet"/>
      </w:pPr>
      <w:r>
        <w:rPr>
          <w:rFonts w:ascii="Calibri" w:hAnsi="Calibri"/>
          <w:sz w:val="22"/>
        </w:rPr>
        <w:t>Soporte técnico durante la recepción e integración de los productos</w:t>
      </w:r>
    </w:p>
    <w:p/>
    <w:p>
      <w:r>
        <w:rPr>
          <w:rFonts w:ascii="Calibri" w:hAnsi="Calibri"/>
          <w:b/>
          <w:sz w:val="22"/>
        </w:rPr>
        <w:t xml:space="preserve">Aclaración importante: </w:t>
      </w:r>
      <w:r>
        <w:rPr>
          <w:rFonts w:ascii="Calibri" w:hAnsi="Calibri"/>
          <w:sz w:val="22"/>
        </w:rPr>
        <w:t>Los precios aquí establecidos NO incluyen una segunda fecha de adquisición para monitoreo. Dicho servicio, de ser requerido por el contratante, se contratará de manera independiente en el momento en que se solicite.</w:t>
      </w:r>
    </w:p>
    <w:p/>
    <w:p>
      <w:r>
        <w:rPr>
          <w:rFonts w:ascii="Calibri" w:hAnsi="Calibri"/>
          <w:b/>
          <w:sz w:val="22"/>
        </w:rPr>
        <w:t xml:space="preserve">Nota sobre los precios: </w:t>
      </w:r>
      <w:r>
        <w:rPr>
          <w:rFonts w:ascii="Calibri" w:hAnsi="Calibri"/>
          <w:sz w:val="22"/>
        </w:rPr>
        <w:t>Las áreas de intervención son estimadas (735 ha). Los precios aquí presentados podrán ajustarse una vez se reciban los archivos vectoriales definitivos, en caso de que las áreas reales difieran significativamente de las estimadas. Esta flexibilidad busca garantizar un costo justo y proporcional al alcance real del proyecto.</w:t>
      </w:r>
    </w:p>
    <w:p/>
    <w:p>
      <w:r>
        <w:rPr>
          <w:rFonts w:ascii="Calibri" w:hAnsi="Calibri"/>
          <w:b/>
          <w:sz w:val="22"/>
        </w:rPr>
        <w:t xml:space="preserve">Forma de pago: </w:t>
      </w:r>
      <w:r>
        <w:rPr>
          <w:rFonts w:ascii="Calibri" w:hAnsi="Calibri"/>
          <w:sz w:val="22"/>
        </w:rPr>
        <w:t>100% contra entrega y aceptación de los productos.</w:t>
      </w:r>
    </w:p>
    <w:p>
      <w:r>
        <w:rPr>
          <w:rFonts w:ascii="Calibri" w:hAnsi="Calibri"/>
          <w:b/>
          <w:sz w:val="22"/>
        </w:rPr>
        <w:t xml:space="preserve">Vigencia de la oferta: </w:t>
      </w:r>
      <w:r>
        <w:rPr>
          <w:rFonts w:ascii="Calibri" w:hAnsi="Calibri"/>
          <w:sz w:val="22"/>
        </w:rPr>
        <w:t>Treinta (30) días calendario a partir de la presente fecha.</w:t>
      </w:r>
    </w:p>
    <w:p>
      <w:r>
        <w:rPr>
          <w:rFonts w:ascii="Calibri" w:hAnsi="Calibri"/>
          <w:b/>
          <w:sz w:val="22"/>
        </w:rPr>
        <w:t xml:space="preserve">Moneda: </w:t>
      </w:r>
      <w:r>
        <w:rPr>
          <w:rFonts w:ascii="Calibri" w:hAnsi="Calibri"/>
          <w:sz w:val="22"/>
        </w:rPr>
        <w:t>Pesos colombianos (COP).</w:t>
      </w:r>
    </w:p>
    <w:p/>
    <w:p>
      <w:pPr>
        <w:pStyle w:val="Heading1"/>
      </w:pPr>
      <w:r>
        <w:rPr>
          <w:rFonts w:ascii="Calibri" w:hAnsi="Calibri"/>
          <w:color w:val="1B5E20"/>
        </w:rPr>
        <w:t>8. CONDICIONES COMERCIALES</w:t>
      </w:r>
    </w:p>
    <w:p>
      <w:pPr>
        <w:pStyle w:val="Heading2"/>
      </w:pPr>
      <w:r>
        <w:rPr>
          <w:rFonts w:ascii="Calibri" w:hAnsi="Calibri"/>
          <w:color w:val="1B5E20"/>
        </w:rPr>
        <w:t>8.1 Escenario base — Adquisición en archivo</w:t>
      </w:r>
    </w:p>
    <w:p>
      <w:r>
        <w:rPr>
          <w:rFonts w:ascii="Calibri" w:hAnsi="Calibri"/>
          <w:sz w:val="22"/>
        </w:rPr>
        <w:t>El precio establecido en la sección 7 corresponde al servicio de búsqueda y adquisición de imágenes de archivo satelital que cumplan todos los criterios técnicos exigidos (temporalidad ≤6 meses, resolución 0.30 m, nubosidad ≤10%). Este es el escenario habitual y el que aplica en más del 90% de los proyectos de este tipo.</w:t>
      </w:r>
    </w:p>
    <w:p/>
    <w:p>
      <w:pPr>
        <w:pStyle w:val="Heading2"/>
      </w:pPr>
      <w:r>
        <w:rPr>
          <w:rFonts w:ascii="Calibri" w:hAnsi="Calibri"/>
          <w:color w:val="1B5E20"/>
        </w:rPr>
        <w:t>8.2 Escenario alternativo — Nueva adquisición programada</w:t>
      </w:r>
    </w:p>
    <w:p>
      <w:r>
        <w:rPr>
          <w:rFonts w:ascii="Calibri" w:hAnsi="Calibri"/>
          <w:sz w:val="22"/>
        </w:rPr>
        <w:t>En caso de que, tras la búsqueda exhaustiva en archivo, no se encuentren imágenes que cumplan simultáneamente los criterios de temporalidad y nubosidad sobre las áreas de interés, se informará oportunamente al contratante para evaluar de manera conjunta la programación de una nueva adquisición satelital.</w:t>
      </w:r>
    </w:p>
    <w:p>
      <w:r>
        <w:rPr>
          <w:rFonts w:ascii="Calibri" w:hAnsi="Calibri"/>
          <w:sz w:val="22"/>
        </w:rPr>
        <w:t>Este escenario, poco frecuente, implica la programación del sensor satelital para capturar una imagen específicamente sobre las áreas del proyecto. En caso de requerirse, se presentará al contratante una cotización formal con el costo exacto de la nueva adquisición, el cual dependerá del área a cubrir, la cantidad de escenas necesarias y las condiciones de captura. Dicha cotización requerirá aprobación previa y expresa del contratante antes de proceder con la ejecución. Bajo ninguna circunstancia se realizará una nueva adquisición sin autorización previa.</w:t>
      </w:r>
    </w:p>
    <w:p>
      <w:r>
        <w:rPr>
          <w:rFonts w:ascii="Calibri" w:hAnsi="Calibri"/>
          <w:sz w:val="22"/>
        </w:rPr>
        <w:t>Se estima que, en el escenario más probable, el costo adicional de una nueva adquisición programada podría oscilar entre $1.700.000 y $3.500.000 COP por fecha, valor que será confirmado al momento de identificar la necesidad y cotizado formalmente. El valor final dependerá de la cantidad de polígonos que requieran captura independiente.</w:t>
      </w:r>
    </w:p>
    <w:p/>
    <w:p>
      <w:pPr>
        <w:pStyle w:val="Heading2"/>
      </w:pPr>
      <w:r>
        <w:rPr>
          <w:rFonts w:ascii="Calibri" w:hAnsi="Calibri"/>
          <w:color w:val="1B5E20"/>
        </w:rPr>
        <w:t>8.3 Servicios adicionales no incluidos</w:t>
      </w:r>
    </w:p>
    <w:p>
      <w:r>
        <w:rPr>
          <w:rFonts w:ascii="Calibri" w:hAnsi="Calibri"/>
          <w:sz w:val="22"/>
        </w:rPr>
        <w:t>Los siguientes servicios no hacen parte de esta propuesta y, en caso de ser requeridos, se cotizarán por separado:</w:t>
      </w:r>
    </w:p>
    <w:p>
      <w:pPr>
        <w:pStyle w:val="ListBullet"/>
      </w:pPr>
      <w:r>
        <w:rPr>
          <w:rFonts w:ascii="Calibri" w:hAnsi="Calibri"/>
          <w:sz w:val="22"/>
        </w:rPr>
        <w:t>Procesamiento adicional de imágenes (clasificación de coberturas, cálculo de otros índices de vegetación — NDMI, SAVI, EVI, etc.)</w:t>
      </w:r>
    </w:p>
    <w:p>
      <w:pPr>
        <w:pStyle w:val="ListBullet"/>
      </w:pPr>
      <w:r>
        <w:rPr>
          <w:rFonts w:ascii="Calibri" w:hAnsi="Calibri"/>
          <w:sz w:val="22"/>
        </w:rPr>
        <w:t>Análisis multitemporal (detección de cambios entre fechas)</w:t>
      </w:r>
    </w:p>
    <w:p>
      <w:pPr>
        <w:pStyle w:val="ListBullet"/>
      </w:pPr>
      <w:r>
        <w:rPr>
          <w:rFonts w:ascii="Calibri" w:hAnsi="Calibri"/>
          <w:sz w:val="22"/>
        </w:rPr>
        <w:t>Digitalización o vectorización de coberturas sobre las imágenes</w:t>
      </w:r>
    </w:p>
    <w:p>
      <w:pPr>
        <w:pStyle w:val="ListBullet"/>
      </w:pPr>
      <w:r>
        <w:rPr>
          <w:rFonts w:ascii="Calibri" w:hAnsi="Calibri"/>
          <w:sz w:val="22"/>
        </w:rPr>
        <w:t>Generación de cartografía temática impresa</w:t>
      </w:r>
    </w:p>
    <w:p>
      <w:pPr>
        <w:pStyle w:val="ListBullet"/>
      </w:pPr>
      <w:r>
        <w:rPr>
          <w:rFonts w:ascii="Calibri" w:hAnsi="Calibri"/>
          <w:sz w:val="22"/>
        </w:rPr>
        <w:t>Instalación o configuración de software SIG</w:t>
      </w:r>
    </w:p>
    <w:p>
      <w:pPr>
        <w:pStyle w:val="ListBullet"/>
      </w:pPr>
      <w:r>
        <w:rPr>
          <w:rFonts w:ascii="Calibri" w:hAnsi="Calibri"/>
          <w:sz w:val="22"/>
        </w:rPr>
        <w:t>Capacitación en interpretación de imágenes satelitales</w:t>
      </w:r>
    </w:p>
    <w:p>
      <w:pPr>
        <w:pStyle w:val="ListBullet"/>
      </w:pPr>
      <w:r>
        <w:rPr>
          <w:rFonts w:ascii="Calibri" w:hAnsi="Calibri"/>
          <w:sz w:val="22"/>
        </w:rPr>
        <w:t>Visitas de campo para verificación o levantamiento de puntos de control</w:t>
      </w:r>
    </w:p>
    <w:p/>
    <w:p>
      <w:pPr>
        <w:pStyle w:val="Heading2"/>
      </w:pPr>
      <w:r>
        <w:rPr>
          <w:rFonts w:ascii="Calibri" w:hAnsi="Calibri"/>
          <w:color w:val="1B5E20"/>
        </w:rPr>
        <w:t>8.4 Modificaciones a los productos entregados</w:t>
      </w:r>
    </w:p>
    <w:p>
      <w:r>
        <w:rPr>
          <w:rFonts w:ascii="Calibri" w:hAnsi="Calibri"/>
          <w:sz w:val="22"/>
        </w:rPr>
        <w:t>Una vez entregados y aceptados los productos, cualquier modificación solicitada por el contratante (reprocesamiento con parámetros diferentes, cambio de sistema de referencia, generación de productos derivados no contemplados en el alcance original) tendrá un costo adicional que será cotizado según el alcance de la modificación.</w:t>
      </w:r>
    </w:p>
    <w:p/>
    <w:p>
      <w:pPr>
        <w:pStyle w:val="Heading1"/>
      </w:pPr>
      <w:r>
        <w:rPr>
          <w:rFonts w:ascii="Calibri" w:hAnsi="Calibri"/>
          <w:color w:val="1B5E20"/>
        </w:rPr>
        <w:t>9. INFORMACIÓN DE LA COTIZACIÓN</w:t>
      </w:r>
    </w:p>
    <w:p>
      <w:r>
        <w:rPr>
          <w:rFonts w:ascii="Calibri" w:hAnsi="Calibri"/>
          <w:sz w:val="22"/>
        </w:rPr>
        <w:t>En cumplimiento del punto 9 de los términos de referencia, se presenta la siguiente información:</w:t>
      </w:r>
    </w:p>
    <w:p/>
    <w:tbl>
      <w:tblPr>
        <w:tblStyle w:val="TableGrid"/>
        <w:tblW w:type="auto" w:w="0"/>
        <w:tblLook w:firstColumn="1" w:firstRow="1" w:lastColumn="0" w:lastRow="0" w:noHBand="0" w:noVBand="1" w:val="04A0"/>
      </w:tblPr>
      <w:tblGrid>
        <w:gridCol w:w="4703"/>
        <w:gridCol w:w="4703"/>
      </w:tblGrid>
      <w:tr>
        <w:tc>
          <w:tcPr>
            <w:tcW w:type="dxa" w:w="3402"/>
            <w:shd w:fill="1B5E20" w:val="clear"/>
          </w:tcPr>
          <w:p>
            <w:pPr>
              <w:jc w:val="center"/>
            </w:pPr>
            <w:r/>
            <w:r>
              <w:rPr>
                <w:rFonts w:ascii="Calibri" w:hAnsi="Calibri"/>
                <w:b/>
                <w:color w:val="FFFFFF"/>
                <w:sz w:val="20"/>
              </w:rPr>
              <w:t>Campo</w:t>
            </w:r>
          </w:p>
        </w:tc>
        <w:tc>
          <w:tcPr>
            <w:tcW w:type="dxa" w:w="5953"/>
            <w:shd w:fill="1B5E20" w:val="clear"/>
          </w:tcPr>
          <w:p>
            <w:pPr>
              <w:jc w:val="center"/>
            </w:pPr>
            <w:r/>
            <w:r>
              <w:rPr>
                <w:rFonts w:ascii="Calibri" w:hAnsi="Calibri"/>
                <w:b/>
                <w:color w:val="FFFFFF"/>
                <w:sz w:val="20"/>
              </w:rPr>
              <w:t>Valor</w:t>
            </w:r>
          </w:p>
        </w:tc>
      </w:tr>
      <w:tr>
        <w:tc>
          <w:tcPr>
            <w:tcW w:type="dxa" w:w="3402"/>
            <w:shd w:fill="E8F5E9" w:val="clear"/>
          </w:tcPr>
          <w:p>
            <w:r/>
            <w:r>
              <w:rPr>
                <w:rFonts w:ascii="Calibri" w:hAnsi="Calibri"/>
                <w:b/>
                <w:sz w:val="20"/>
              </w:rPr>
              <w:t>Costo total del servicio</w:t>
            </w:r>
          </w:p>
        </w:tc>
        <w:tc>
          <w:tcPr>
            <w:tcW w:type="dxa" w:w="5953"/>
          </w:tcPr>
          <w:p>
            <w:r/>
            <w:r>
              <w:rPr>
                <w:rFonts w:ascii="Calibri" w:hAnsi="Calibri"/>
                <w:b w:val="0"/>
                <w:sz w:val="18"/>
              </w:rPr>
              <w:t>$6.200.000 COP (ver sección 7.1)</w:t>
            </w:r>
          </w:p>
        </w:tc>
      </w:tr>
      <w:tr>
        <w:tc>
          <w:tcPr>
            <w:tcW w:type="dxa" w:w="3402"/>
            <w:shd w:fill="E8F5E9" w:val="clear"/>
          </w:tcPr>
          <w:p>
            <w:r/>
            <w:r>
              <w:rPr>
                <w:rFonts w:ascii="Calibri" w:hAnsi="Calibri"/>
                <w:b/>
                <w:sz w:val="20"/>
              </w:rPr>
              <w:t>Área mínima de compra aplicable</w:t>
            </w:r>
          </w:p>
        </w:tc>
        <w:tc>
          <w:tcPr>
            <w:tcW w:type="dxa" w:w="5953"/>
          </w:tcPr>
          <w:p>
            <w:r/>
            <w:r>
              <w:rPr>
                <w:rFonts w:ascii="Calibri" w:hAnsi="Calibri"/>
                <w:b w:val="0"/>
                <w:sz w:val="18"/>
              </w:rPr>
              <w:t>Sin área mínima. Se adquiere exactamente la cobertura requerida por los polígonos del proyecto.</w:t>
            </w:r>
          </w:p>
        </w:tc>
      </w:tr>
      <w:tr>
        <w:tc>
          <w:tcPr>
            <w:tcW w:type="dxa" w:w="3402"/>
            <w:shd w:fill="E8F5E9" w:val="clear"/>
          </w:tcPr>
          <w:p>
            <w:r/>
            <w:r>
              <w:rPr>
                <w:rFonts w:ascii="Calibri" w:hAnsi="Calibri"/>
                <w:b/>
                <w:sz w:val="20"/>
              </w:rPr>
              <w:t>Tipo de producto ofrecido</w:t>
            </w:r>
          </w:p>
        </w:tc>
        <w:tc>
          <w:tcPr>
            <w:tcW w:type="dxa" w:w="5953"/>
          </w:tcPr>
          <w:p>
            <w:r/>
            <w:r>
              <w:rPr>
                <w:rFonts w:ascii="Calibri" w:hAnsi="Calibri"/>
                <w:b w:val="0"/>
                <w:sz w:val="18"/>
              </w:rPr>
              <w:t>Imagen satelital óptica de muy alta resolución, ortorrectificada, pan-sharpened, multiespectral (6 bandas), con NDVI incluido</w:t>
            </w:r>
          </w:p>
        </w:tc>
      </w:tr>
      <w:tr>
        <w:tc>
          <w:tcPr>
            <w:tcW w:type="dxa" w:w="3402"/>
            <w:shd w:fill="E8F5E9" w:val="clear"/>
          </w:tcPr>
          <w:p>
            <w:r/>
            <w:r>
              <w:rPr>
                <w:rFonts w:ascii="Calibri" w:hAnsi="Calibri"/>
                <w:b/>
                <w:sz w:val="20"/>
              </w:rPr>
              <w:t>Resolución espacial</w:t>
            </w:r>
          </w:p>
        </w:tc>
        <w:tc>
          <w:tcPr>
            <w:tcW w:type="dxa" w:w="5953"/>
          </w:tcPr>
          <w:p>
            <w:r/>
            <w:r>
              <w:rPr>
                <w:rFonts w:ascii="Calibri" w:hAnsi="Calibri"/>
                <w:b w:val="0"/>
                <w:sz w:val="18"/>
              </w:rPr>
              <w:t>Pancromática: 0.30 m / Multiespectral: 1.20 m / Pan-sharpened final: 0.30 m</w:t>
            </w:r>
          </w:p>
        </w:tc>
      </w:tr>
      <w:tr>
        <w:tc>
          <w:tcPr>
            <w:tcW w:type="dxa" w:w="3402"/>
            <w:shd w:fill="E8F5E9" w:val="clear"/>
          </w:tcPr>
          <w:p>
            <w:r/>
            <w:r>
              <w:rPr>
                <w:rFonts w:ascii="Calibri" w:hAnsi="Calibri"/>
                <w:b/>
                <w:sz w:val="20"/>
              </w:rPr>
              <w:t>Fecha de adquisición</w:t>
            </w:r>
          </w:p>
        </w:tc>
        <w:tc>
          <w:tcPr>
            <w:tcW w:type="dxa" w:w="5953"/>
          </w:tcPr>
          <w:p>
            <w:r/>
            <w:r>
              <w:rPr>
                <w:rFonts w:ascii="Calibri" w:hAnsi="Calibri"/>
                <w:b w:val="0"/>
                <w:sz w:val="18"/>
              </w:rPr>
              <w:t>No superior a 6 meses. Se indicará fecha exacta en reporte técnico.</w:t>
            </w:r>
          </w:p>
        </w:tc>
      </w:tr>
      <w:tr>
        <w:tc>
          <w:tcPr>
            <w:tcW w:type="dxa" w:w="3402"/>
            <w:shd w:fill="E8F5E9" w:val="clear"/>
          </w:tcPr>
          <w:p>
            <w:r/>
            <w:r>
              <w:rPr>
                <w:rFonts w:ascii="Calibri" w:hAnsi="Calibri"/>
                <w:b/>
                <w:sz w:val="20"/>
              </w:rPr>
              <w:t>Porcentaje de nubosidad</w:t>
            </w:r>
          </w:p>
        </w:tc>
        <w:tc>
          <w:tcPr>
            <w:tcW w:type="dxa" w:w="5953"/>
          </w:tcPr>
          <w:p>
            <w:r/>
            <w:r>
              <w:rPr>
                <w:rFonts w:ascii="Calibri" w:hAnsi="Calibri"/>
                <w:b w:val="0"/>
                <w:sz w:val="18"/>
              </w:rPr>
              <w:t>Máximo 10% sobre el área de interés</w:t>
            </w:r>
          </w:p>
        </w:tc>
      </w:tr>
      <w:tr>
        <w:tc>
          <w:tcPr>
            <w:tcW w:type="dxa" w:w="3402"/>
            <w:shd w:fill="E8F5E9" w:val="clear"/>
          </w:tcPr>
          <w:p>
            <w:r/>
            <w:r>
              <w:rPr>
                <w:rFonts w:ascii="Calibri" w:hAnsi="Calibri"/>
                <w:b/>
                <w:sz w:val="20"/>
              </w:rPr>
              <w:t>Procesamientos incluidos</w:t>
            </w:r>
          </w:p>
        </w:tc>
        <w:tc>
          <w:tcPr>
            <w:tcW w:type="dxa" w:w="5953"/>
          </w:tcPr>
          <w:p>
            <w:r/>
            <w:r>
              <w:rPr>
                <w:rFonts w:ascii="Calibri" w:hAnsi="Calibri"/>
                <w:b w:val="0"/>
                <w:sz w:val="18"/>
              </w:rPr>
              <w:t>Ortorrectificación, pan-sharpening, NDVI, corrección radiométrica y atmosférica, balance radiométrico, máscara de nubes, reproyección a MAGNA-SIRGAS / UTM zona 18N</w:t>
            </w:r>
          </w:p>
        </w:tc>
      </w:tr>
      <w:tr>
        <w:tc>
          <w:tcPr>
            <w:tcW w:type="dxa" w:w="3402"/>
            <w:shd w:fill="E8F5E9" w:val="clear"/>
          </w:tcPr>
          <w:p>
            <w:r/>
            <w:r>
              <w:rPr>
                <w:rFonts w:ascii="Calibri" w:hAnsi="Calibri"/>
                <w:b/>
                <w:sz w:val="20"/>
              </w:rPr>
              <w:t>Condiciones de entrega</w:t>
            </w:r>
          </w:p>
        </w:tc>
        <w:tc>
          <w:tcPr>
            <w:tcW w:type="dxa" w:w="5953"/>
          </w:tcPr>
          <w:p>
            <w:r/>
            <w:r>
              <w:rPr>
                <w:rFonts w:ascii="Calibri" w:hAnsi="Calibri"/>
                <w:b w:val="0"/>
                <w:sz w:val="18"/>
              </w:rPr>
              <w:t>Formato GeoTIFF. Entrega digital. 7 días hábiles archivo; 30-90 días tarea programada. Pago contra entrega.</w:t>
            </w:r>
          </w:p>
        </w:tc>
      </w:tr>
    </w:tbl>
    <w:p/>
    <w:p>
      <w:pPr>
        <w:pStyle w:val="Heading1"/>
      </w:pPr>
      <w:r>
        <w:rPr>
          <w:rFonts w:ascii="Calibri" w:hAnsi="Calibri"/>
          <w:color w:val="1B5E20"/>
        </w:rPr>
        <w:t>10. INFORMACIÓN REQUERIDA DEL CONTRATANTE</w:t>
      </w:r>
    </w:p>
    <w:p>
      <w:r>
        <w:rPr>
          <w:rFonts w:ascii="Calibri" w:hAnsi="Calibri"/>
          <w:sz w:val="22"/>
        </w:rPr>
        <w:t>Para la elaboración de la cotización definitiva y el inicio del servicio, el contratante deberá suministrar:</w:t>
      </w:r>
    </w:p>
    <w:p>
      <w:pPr>
        <w:pStyle w:val="ListBullet"/>
      </w:pPr>
      <w:r>
        <w:rPr>
          <w:rFonts w:ascii="Calibri" w:hAnsi="Calibri"/>
          <w:sz w:val="22"/>
        </w:rPr>
        <w:t>Archivos vectoriales (shapefile) de los polígonos de predios y áreas de intervención</w:t>
      </w:r>
    </w:p>
    <w:p>
      <w:pPr>
        <w:pStyle w:val="ListBullet"/>
      </w:pPr>
      <w:r>
        <w:rPr>
          <w:rFonts w:ascii="Calibri" w:hAnsi="Calibri"/>
          <w:sz w:val="22"/>
        </w:rPr>
        <w:t>Sistema de referencia espacial de los archivos suministrados</w:t>
      </w:r>
    </w:p>
    <w:p>
      <w:pPr>
        <w:pStyle w:val="ListBullet"/>
      </w:pPr>
      <w:r>
        <w:rPr>
          <w:rFonts w:ascii="Calibri" w:hAnsi="Calibri"/>
          <w:sz w:val="22"/>
        </w:rPr>
        <w:t>Confirmación del área total de cobertura</w:t>
      </w:r>
    </w:p>
    <w:p/>
    <w:p>
      <w:pPr>
        <w:pStyle w:val="Heading1"/>
      </w:pPr>
      <w:r>
        <w:rPr>
          <w:rFonts w:ascii="Calibri" w:hAnsi="Calibri"/>
          <w:color w:val="1B5E20"/>
        </w:rPr>
        <w:t>11. REQUISITOS DE CONTRATACIÓN</w:t>
      </w:r>
    </w:p>
    <w:p>
      <w:r>
        <w:rPr>
          <w:rFonts w:ascii="Calibri" w:hAnsi="Calibri"/>
          <w:sz w:val="22"/>
        </w:rPr>
        <w:t>Para proceder con la contratación, se requiere:</w:t>
      </w:r>
    </w:p>
    <w:p>
      <w:pPr>
        <w:pStyle w:val="ListNumber"/>
      </w:pPr>
      <w:r>
        <w:rPr>
          <w:rFonts w:ascii="Calibri" w:hAnsi="Calibri"/>
          <w:sz w:val="22"/>
        </w:rPr>
        <w:t>Aceptación formal de la presente propuesta mediante comunicación escrita (correo electrónico u oficio)</w:t>
      </w:r>
    </w:p>
    <w:p>
      <w:pPr>
        <w:pStyle w:val="ListNumber"/>
      </w:pPr>
      <w:r>
        <w:rPr>
          <w:rFonts w:ascii="Calibri" w:hAnsi="Calibri"/>
          <w:sz w:val="22"/>
        </w:rPr>
        <w:t>Suministro de los archivos vectoriales (AOI) listados en la sección 10</w:t>
      </w:r>
    </w:p>
    <w:p>
      <w:pPr>
        <w:pStyle w:val="ListNumber"/>
      </w:pPr>
      <w:r>
        <w:rPr>
          <w:rFonts w:ascii="Calibri" w:hAnsi="Calibri"/>
          <w:sz w:val="22"/>
        </w:rPr>
        <w:t>Para entidades públicas: certificado de disponibilidad presupuestal (CDP) o documento equivalente</w:t>
      </w:r>
    </w:p>
    <w:p/>
    <w:p>
      <w:pPr>
        <w:pStyle w:val="Heading1"/>
      </w:pPr>
      <w:r>
        <w:rPr>
          <w:rFonts w:ascii="Calibri" w:hAnsi="Calibri"/>
          <w:color w:val="1B5E20"/>
        </w:rPr>
        <w:t>12. DATOS DE CONTACTO</w:t>
      </w:r>
    </w:p>
    <w:tbl>
      <w:tblPr>
        <w:tblStyle w:val="TableGrid"/>
        <w:tblW w:type="auto" w:w="0"/>
        <w:tblLook w:firstColumn="1" w:firstRow="1" w:lastColumn="0" w:lastRow="0" w:noHBand="0" w:noVBand="1" w:val="04A0"/>
      </w:tblPr>
      <w:tblGrid>
        <w:gridCol w:w="4703"/>
        <w:gridCol w:w="4703"/>
      </w:tblGrid>
      <w:tr>
        <w:tc>
          <w:tcPr>
            <w:tcW w:type="dxa" w:w="3402"/>
            <w:shd w:fill="1B5E20" w:val="clear"/>
          </w:tcPr>
          <w:p>
            <w:pPr>
              <w:jc w:val="center"/>
            </w:pPr>
            <w:r/>
            <w:r>
              <w:rPr>
                <w:rFonts w:ascii="Calibri" w:hAnsi="Calibri"/>
                <w:b/>
                <w:color w:val="FFFFFF"/>
                <w:sz w:val="20"/>
              </w:rPr>
              <w:t>Campo</w:t>
            </w:r>
          </w:p>
        </w:tc>
        <w:tc>
          <w:tcPr>
            <w:tcW w:type="dxa" w:w="5953"/>
            <w:shd w:fill="1B5E20" w:val="clear"/>
          </w:tcPr>
          <w:p>
            <w:pPr>
              <w:jc w:val="center"/>
            </w:pPr>
            <w:r/>
            <w:r>
              <w:rPr>
                <w:rFonts w:ascii="Calibri" w:hAnsi="Calibri"/>
                <w:b/>
                <w:color w:val="FFFFFF"/>
                <w:sz w:val="20"/>
              </w:rPr>
              <w:t>Valor</w:t>
            </w:r>
          </w:p>
        </w:tc>
      </w:tr>
      <w:tr>
        <w:tc>
          <w:tcPr>
            <w:tcW w:type="dxa" w:w="3402"/>
          </w:tcPr>
          <w:p>
            <w:r/>
            <w:r>
              <w:rPr>
                <w:rFonts w:ascii="Calibri" w:hAnsi="Calibri"/>
                <w:b/>
                <w:sz w:val="20"/>
              </w:rPr>
              <w:t>Nombre de la empresa</w:t>
            </w:r>
          </w:p>
        </w:tc>
        <w:tc>
          <w:tcPr>
            <w:tcW w:type="dxa" w:w="5953"/>
          </w:tcPr>
          <w:p>
            <w:r/>
            <w:r>
              <w:rPr>
                <w:rFonts w:ascii="Calibri" w:hAnsi="Calibri"/>
                <w:b w:val="0"/>
                <w:sz w:val="20"/>
              </w:rPr>
              <w:t>[completar]</w:t>
            </w:r>
          </w:p>
        </w:tc>
      </w:tr>
      <w:tr>
        <w:tc>
          <w:tcPr>
            <w:tcW w:type="dxa" w:w="3402"/>
          </w:tcPr>
          <w:p>
            <w:r/>
            <w:r>
              <w:rPr>
                <w:rFonts w:ascii="Calibri" w:hAnsi="Calibri"/>
                <w:b/>
                <w:sz w:val="20"/>
              </w:rPr>
              <w:t>NIT</w:t>
            </w:r>
          </w:p>
        </w:tc>
        <w:tc>
          <w:tcPr>
            <w:tcW w:type="dxa" w:w="5953"/>
          </w:tcPr>
          <w:p>
            <w:r/>
            <w:r>
              <w:rPr>
                <w:rFonts w:ascii="Calibri" w:hAnsi="Calibri"/>
                <w:b w:val="0"/>
                <w:sz w:val="20"/>
              </w:rPr>
              <w:t>[completar]</w:t>
            </w:r>
          </w:p>
        </w:tc>
      </w:tr>
      <w:tr>
        <w:tc>
          <w:tcPr>
            <w:tcW w:type="dxa" w:w="3402"/>
          </w:tcPr>
          <w:p>
            <w:r/>
            <w:r>
              <w:rPr>
                <w:rFonts w:ascii="Calibri" w:hAnsi="Calibri"/>
                <w:b/>
                <w:sz w:val="20"/>
              </w:rPr>
              <w:t>Dirección</w:t>
            </w:r>
          </w:p>
        </w:tc>
        <w:tc>
          <w:tcPr>
            <w:tcW w:type="dxa" w:w="5953"/>
          </w:tcPr>
          <w:p>
            <w:r/>
            <w:r>
              <w:rPr>
                <w:rFonts w:ascii="Calibri" w:hAnsi="Calibri"/>
                <w:b w:val="0"/>
                <w:sz w:val="20"/>
              </w:rPr>
              <w:t>[completar]</w:t>
            </w:r>
          </w:p>
        </w:tc>
      </w:tr>
      <w:tr>
        <w:tc>
          <w:tcPr>
            <w:tcW w:type="dxa" w:w="3402"/>
          </w:tcPr>
          <w:p>
            <w:r/>
            <w:r>
              <w:rPr>
                <w:rFonts w:ascii="Calibri" w:hAnsi="Calibri"/>
                <w:b/>
                <w:sz w:val="20"/>
              </w:rPr>
              <w:t>Teléfono</w:t>
            </w:r>
          </w:p>
        </w:tc>
        <w:tc>
          <w:tcPr>
            <w:tcW w:type="dxa" w:w="5953"/>
          </w:tcPr>
          <w:p>
            <w:r/>
            <w:r>
              <w:rPr>
                <w:rFonts w:ascii="Calibri" w:hAnsi="Calibri"/>
                <w:b w:val="0"/>
                <w:sz w:val="20"/>
              </w:rPr>
              <w:t>[completar]</w:t>
            </w:r>
          </w:p>
        </w:tc>
      </w:tr>
      <w:tr>
        <w:tc>
          <w:tcPr>
            <w:tcW w:type="dxa" w:w="3402"/>
          </w:tcPr>
          <w:p>
            <w:r/>
            <w:r>
              <w:rPr>
                <w:rFonts w:ascii="Calibri" w:hAnsi="Calibri"/>
                <w:b/>
                <w:sz w:val="20"/>
              </w:rPr>
              <w:t>Correo electrónico</w:t>
            </w:r>
          </w:p>
        </w:tc>
        <w:tc>
          <w:tcPr>
            <w:tcW w:type="dxa" w:w="5953"/>
          </w:tcPr>
          <w:p>
            <w:r/>
            <w:r>
              <w:rPr>
                <w:rFonts w:ascii="Calibri" w:hAnsi="Calibri"/>
                <w:b w:val="0"/>
                <w:sz w:val="20"/>
              </w:rPr>
              <w:t>[completar]</w:t>
            </w:r>
          </w:p>
        </w:tc>
      </w:tr>
      <w:tr>
        <w:tc>
          <w:tcPr>
            <w:tcW w:type="dxa" w:w="3402"/>
          </w:tcPr>
          <w:p>
            <w:r/>
            <w:r>
              <w:rPr>
                <w:rFonts w:ascii="Calibri" w:hAnsi="Calibri"/>
                <w:b/>
                <w:sz w:val="20"/>
              </w:rPr>
              <w:t>Representante legal</w:t>
            </w:r>
          </w:p>
        </w:tc>
        <w:tc>
          <w:tcPr>
            <w:tcW w:type="dxa" w:w="5953"/>
          </w:tcPr>
          <w:p>
            <w:r/>
            <w:r>
              <w:rPr>
                <w:rFonts w:ascii="Calibri" w:hAnsi="Calibri"/>
                <w:b w:val="0"/>
                <w:sz w:val="20"/>
              </w:rPr>
              <w:t>[completar]</w:t>
            </w:r>
          </w:p>
        </w:tc>
      </w:tr>
    </w:tbl>
    <w:p/>
    <w:p/>
    <w:p>
      <w:pPr>
        <w:jc w:val="center"/>
      </w:pPr>
      <w:r>
        <w:rPr>
          <w:rFonts w:ascii="Calibri" w:hAnsi="Calibri"/>
          <w:i/>
          <w:color w:val="888888"/>
          <w:sz w:val="18"/>
        </w:rPr>
        <w:t>Documento preparado en junio de 2026. Sujeto a los términos y condiciones aquí establecidos.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