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rti2ph1a5wh" w:id="0"/>
      <w:bookmarkEnd w:id="0"/>
      <w:r w:rsidDel="00000000" w:rsidR="00000000" w:rsidRPr="00000000">
        <w:rPr>
          <w:rtl w:val="0"/>
        </w:rPr>
        <w:t xml:space="preserve">DOM (Events)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2xabjwi4coeo" w:id="1"/>
      <w:bookmarkEnd w:id="1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eventos ocurren cuando el usuario interactúa con la página, nos permiten controlar las acciones de los usuarios y dar un comportamiento a la página cuando estos mismos eventos se produzcan.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gnstq2zd7o6" w:id="2"/>
      <w:bookmarkEnd w:id="2"/>
      <w:r w:rsidDel="00000000" w:rsidR="00000000" w:rsidRPr="00000000">
        <w:rPr>
          <w:rtl w:val="0"/>
        </w:rPr>
        <w:t xml:space="preserve">Funciones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5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15"/>
        <w:gridCol w:w="3855"/>
        <w:gridCol w:w="3615"/>
        <w:tblGridChange w:id="0">
          <w:tblGrid>
            <w:gridCol w:w="3570"/>
            <w:gridCol w:w="615"/>
            <w:gridCol w:w="3855"/>
            <w:gridCol w:w="36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Visual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onclick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Evento para realizar una acción cuando el usuario hace click sobre un elemento.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33782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37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106680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51c75"/>
              </w:rPr>
            </w:pPr>
            <w:r w:rsidDel="00000000" w:rsidR="00000000" w:rsidRPr="00000000">
              <w:rPr>
                <w:rtl w:val="0"/>
              </w:rPr>
              <w:t xml:space="preserve">onload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Evento para realizar una acción cuando el usuario entra en una página.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51c7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51c75"/>
              </w:rPr>
            </w:pPr>
            <w:r w:rsidDel="00000000" w:rsidR="00000000" w:rsidRPr="00000000">
              <w:rPr>
                <w:rtl w:val="0"/>
              </w:rPr>
              <w:t xml:space="preserve">onunload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Evento para realizar una acción cuando el usuario salga de una página.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42164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421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38500" cy="838200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onchange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Evento para modificar un elemento, normalmente se usa en inputs.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2235200"/>
                  <wp:effectExtent b="0" l="0" r="0" t="0"/>
                  <wp:docPr id="1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38525" cy="838200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67100" cy="838200"/>
                  <wp:effectExtent b="0" l="0" r="0" t="0"/>
                  <wp:docPr id="1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51c75"/>
              </w:rPr>
            </w:pPr>
            <w:r w:rsidDel="00000000" w:rsidR="00000000" w:rsidRPr="00000000">
              <w:rPr>
                <w:rtl w:val="0"/>
              </w:rPr>
              <w:t xml:space="preserve">onmouseover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Evento para realizar una acción cuando el usuario pone el ratón encima de un elemento.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51c7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51c75"/>
              </w:rPr>
            </w:pPr>
            <w:r w:rsidDel="00000000" w:rsidR="00000000" w:rsidRPr="00000000">
              <w:rPr>
                <w:rtl w:val="0"/>
              </w:rPr>
              <w:t xml:space="preserve">onmouseout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Evento para realizar una acción cuando el usuario quita el ratón de encima de un elemento.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27813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7154" cy="1119950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54" cy="1119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76463" cy="1122506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63" cy="11225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51c75"/>
              </w:rPr>
            </w:pPr>
            <w:r w:rsidDel="00000000" w:rsidR="00000000" w:rsidRPr="00000000">
              <w:rPr>
                <w:rtl w:val="0"/>
              </w:rPr>
              <w:t xml:space="preserve">onmouseup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Evento para realizar una acción cuando el usuario no hace click sobre un elemento, para especificar el estado del elemento cuando el usuario hace click usaremos onmousedown.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51c7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51c75"/>
              </w:rPr>
            </w:pPr>
            <w:r w:rsidDel="00000000" w:rsidR="00000000" w:rsidRPr="00000000">
              <w:rPr>
                <w:rtl w:val="0"/>
              </w:rPr>
              <w:t xml:space="preserve">onmousedown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Evento para realizar una acción cuando el usuario hace click sobre un elemento, pero solo durante el click, cuando acaba el click vuelve a su estado anterior que especificaremos con onmouseup.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3098800"/>
                  <wp:effectExtent b="0" l="0" r="0" t="0"/>
                  <wp:docPr id="1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1228725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076450" cy="123825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addEventListener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Es un escuchador que indica al navegador que esté atento a la interacción del usuario para que se active un evento.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27178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76675" cy="89535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10668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removeEventListener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Quita un escuchador de la interacción del usuario para que ya no se active un evento.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3340100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2641600"/>
                  <wp:effectExtent b="0" l="0" r="0" t="0"/>
                  <wp:docPr id="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26162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uzbdj1si9grx" w:id="3"/>
      <w:bookmarkEnd w:id="3"/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4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https://jsfiddle.net/sebas_21/jo23k6wu/299/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Sebas Georgiev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7.png"/><Relationship Id="rId24" Type="http://schemas.openxmlformats.org/officeDocument/2006/relationships/image" Target="media/image1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header" Target="header1.xml"/><Relationship Id="rId25" Type="http://schemas.openxmlformats.org/officeDocument/2006/relationships/hyperlink" Target="https://jsfiddle.net/sebas_21/jo23k6wu/299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18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