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914400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keepNext/>
      </w:pPr>
      <w:r>
        <w:t xml:space="preserve">Informe a la familia de Bruno</w:t>
      </w:r>
    </w:p>
    <w:p>
      <w:pPr>
        <w:pStyle w:val="Normal"/>
        <w:widowControl/>
        <w:spacing w:after="130" w:line="300"/>
      </w:pPr>
      <w:r>
        <w:t xml:space="preserve">Informe a la familia  ·  Confirmado por la docente</w:t>
      </w:r>
    </w:p>
    <w:p>
      <w:pPr>
        <w:pStyle w:val="Normal"/>
        <w:widowControl/>
        <w:spacing w:after="100" w:line="285"/>
      </w:pPr>
      <w:r>
        <w:rPr>
          <w:b/>
          <w:bCs/>
        </w:rPr>
        <w:t xml:space="preserve">Año escolar: </w:t>
      </w:r>
      <w:r>
        <w:t xml:space="preserve">2026</w:t>
      </w:r>
    </w:p>
    <w:p>
      <w:pPr>
        <w:pStyle w:val="Normal"/>
        <w:widowControl/>
        <w:spacing w:after="100" w:line="285"/>
      </w:pPr>
      <w:r>
        <w:rPr>
          <w:b/>
          <w:bCs/>
        </w:rPr>
        <w:t xml:space="preserve">Institución educativa: </w:t>
      </w:r>
      <w:r>
        <w:t xml:space="preserve">IEI Semillas del Valle QA</w:t>
      </w:r>
    </w:p>
    <w:p>
      <w:pPr>
        <w:pStyle w:val="Normal"/>
        <w:widowControl/>
        <w:spacing w:after="100" w:line="285"/>
      </w:pPr>
      <w:r>
        <w:rPr>
          <w:b/>
          <w:bCs/>
        </w:rPr>
        <w:t xml:space="preserve">Aula: </w:t>
      </w:r>
      <w:r>
        <w:t xml:space="preserve">Exploradores</w:t>
      </w:r>
    </w:p>
    <w:p>
      <w:pPr>
        <w:pStyle w:val="Normal"/>
        <w:widowControl/>
        <w:spacing w:after="100" w:line="285"/>
      </w:pPr>
      <w:r>
        <w:rPr>
          <w:b/>
          <w:bCs/>
        </w:rPr>
        <w:t xml:space="preserve">Docente: </w:t>
      </w:r>
      <w:r>
        <w:t xml:space="preserve">Lucía Palomino Quispe</w:t>
      </w:r>
    </w:p>
    <w:p>
      <w:pPr>
        <w:pStyle w:val="Normal"/>
        <w:widowControl/>
        <w:spacing w:after="100" w:line="285"/>
      </w:pPr>
      <w:r>
        <w:rPr>
          <w:b/>
          <w:bCs/>
        </w:rPr>
        <w:t xml:space="preserve">Período de evaluación: </w:t>
      </w:r>
      <w:r>
        <w:t xml:space="preserve">Bimestre 1</w:t>
      </w:r>
    </w:p>
    <w:p>
      <w:pPr>
        <w:pStyle w:val="Normal"/>
        <w:widowControl/>
        <w:spacing w:after="100" w:line="285"/>
      </w:pPr>
      <w:r>
        <w:rPr>
          <w:b/>
          <w:bCs/>
        </w:rPr>
        <w:t xml:space="preserve">Período: </w:t>
      </w:r>
      <w:r>
        <w:t xml:space="preserve">16/03/2026 al 15/05/2026</w:t>
      </w:r>
    </w:p>
    <w:p>
      <w:pPr>
        <w:pStyle w:val="Heading1"/>
        <w:keepNext/>
      </w:pPr>
      <w:r>
        <w:t xml:space="preserve">Para la familia</w:t>
      </w:r>
    </w:p>
    <w:p>
      <w:pPr>
        <w:pStyle w:val="Normal"/>
        <w:widowControl/>
        <w:spacing w:after="130" w:line="300"/>
      </w:pPr>
      <w:r>
        <w:t xml:space="preserve">Durante el periodo del 16 de marzo al 15 de mayo de 2026, se observaron avances en la convivencia y participación con otros, considerando situaciones propias de su edad de 5 años.</w:t>
      </w:r>
    </w:p>
    <w:p>
      <w:pPr>
        <w:pStyle w:val="Heading2"/>
        <w:keepNext/>
      </w:pPr>
      <w:r>
        <w:t xml:space="preserve">Convive y participa democráticamente en la búsqueda del bien común</w:t>
      </w:r>
    </w:p>
    <w:p>
      <w:pPr>
        <w:pStyle w:val="Heading2"/>
        <w:keepNext/>
      </w:pPr>
      <w:r>
        <w:t xml:space="preserve">Avances</w:t>
      </w:r>
    </w:p>
    <w:p>
      <w:pPr>
        <w:pStyle w:val="Normal"/>
        <w:widowControl/>
        <w:spacing w:after="130" w:line="300"/>
      </w:pPr>
      <w:r>
        <w:t xml:space="preserve">Propone acuerdos y comparte materiales en situaciones de pareja y grupo pequeño. Por ejemplo, en pareja propuso repartir los bloques y esperó que su compañero eligiera primero. En el grupo pequeño del huerto, propuso distribuir tareas y cedió la jarra espontáneamente. En otra situación de pareja, propuso distribuir tareas y entregó el lápiz por sí solo. En grupos más numerosos, necesita mediación para sostener los turnos y aceptar cambios en el uso de los materiales.</w:t>
      </w:r>
    </w:p>
    <w:p>
      <w:pPr>
        <w:pStyle w:val="Heading2"/>
        <w:keepNext/>
      </w:pPr>
      <w:r>
        <w:t xml:space="preserve">Ejemplos observados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En pareja, propuso repartir los bloques y esperó que su compañero eligiera primero.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En el grupo pequeño del huerto, propuso distribuir tareas y cedió la jarra espontáneamente.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En otra situación de pareja, propuso distribuir tareas y entregó el lápiz por sí solo.</w:t>
      </w:r>
    </w:p>
    <w:p>
      <w:pPr>
        <w:pStyle w:val="Heading2"/>
        <w:keepNext/>
      </w:pPr>
      <w:r>
        <w:t xml:space="preserve">Qué ayudó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Cuando aumenta el número de participantes o cambia el orden de uso, requiere mediación para compartir el material o aceptar el turno.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En las situaciones registradas no se recogió una explicación sobre cómo una responsabilidad de cuidado contribuye al bien común.</w:t>
      </w:r>
    </w:p>
    <w:p>
      <w:pPr>
        <w:pStyle w:val="Heading2"/>
        <w:keepNext/>
      </w:pPr>
      <w:r>
        <w:t xml:space="preserve">Próximos pasos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Ofrecer juegos y tareas de cuidado con grupos de distintos tamaños, revisando los acuerdos si cambian las condiciones.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Observar y registrar qué apoyo le ayuda a aclarar y sostener los turnos.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En una tarea de cuidado, invitarle a comentar para qué sirve o a quién ayuda, sin exigir una respuesta específica.</w:t>
      </w:r>
    </w:p>
    <w:p>
      <w:pPr>
        <w:pStyle w:val="Heading2"/>
        <w:keepNext/>
      </w:pPr>
      <w:r>
        <w:t xml:space="preserve">En casa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En juegos cotidianos, pueden acordar cómo turnarse para usar un material y conversar juntos si el orden cambia.</w:t>
      </w:r>
    </w:p>
    <w:p>
      <w:pPr>
        <w:pStyle w:val="ListParagraph"/>
        <w:widowControl/>
        <w:numPr>
          <w:ilvl w:val="0"/>
          <w:numId w:val="1"/>
        </w:numPr>
        <w:spacing w:after="65" w:line="285"/>
      </w:pPr>
      <w:r>
        <w:t xml:space="preserve">Al participar en una tarea compartida de cuidado, pueden preguntarle para qué sirve o a quién ayuda, escuchando su respuesta sin exigir una forma determinada de explicarlo.</w:t>
      </w:r>
    </w:p>
    <w:p>
      <w:pPr>
        <w:pStyle w:val="Heading1"/>
        <w:keepNext/>
      </w:pPr>
      <w:r>
        <w:t xml:space="preserve">Para seguir acompañando</w:t>
      </w:r>
    </w:p>
    <w:p>
      <w:pPr>
        <w:pStyle w:val="Normal"/>
        <w:widowControl/>
        <w:spacing w:after="130" w:line="300"/>
      </w:pPr>
      <w:r>
        <w:t xml:space="preserve">Estos ejemplos describen situaciones observadas en este periodo; su participación puede variar según el grupo y las condiciones. Seguiremos acompañando sus acuerdos y turnos con apoyos cuando los necesite.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444444"/>
        <w:sz w:val="18"/>
        <w:szCs w:val="18"/>
      </w:rPr>
      <w:t xml:space="preserve">Ayni Aula  ·  Página </w:t>
    </w:r>
    <w:r>
      <w:rPr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>
      <w:pPr>
        <w:spacing w:after="120" w:line="285"/>
      </w:pPr>
    </w:pPrDefault>
  </w:docDefaults>
  <w:style w:type="paragraph" w:styleId="Title">
    <w:name w:val="Title"/>
    <w:basedOn w:val="Normal"/>
    <w:next w:val="Normal"/>
    <w:qFormat/>
    <w:pPr>
      <w:keepNext/>
      <w:spacing w:after="180"/>
    </w:pPr>
    <w:rPr>
      <w:rFonts w:ascii="Aptos Display" w:cs="Aptos Display" w:eastAsia="Aptos Display" w:hAnsi="Aptos Display"/>
      <w:b/>
      <w:bCs/>
      <w:color w:val="000000"/>
      <w:sz w:val="34"/>
      <w:szCs w:val="34"/>
    </w:rPr>
  </w:style>
  <w:style w:type="paragraph" w:styleId="Heading1">
    <w:name w:val="Heading 1"/>
    <w:basedOn w:val="Normal"/>
    <w:next w:val="Normal"/>
    <w:qFormat/>
    <w:pPr>
      <w:keepNext/>
      <w:spacing w:after="100" w:before="280"/>
    </w:pPr>
    <w:rPr>
      <w:rFonts w:ascii="Aptos Display" w:cs="Aptos Display" w:eastAsia="Aptos Display" w:hAnsi="Aptos Display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80" w:before="220"/>
    </w:pPr>
    <w:rPr>
      <w:rFonts w:ascii="Aptos" w:cs="Aptos" w:eastAsia="Aptos" w:hAnsi="Aptos"/>
      <w:b/>
      <w:bCs/>
      <w:color w:val="000000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after="65" w:line="285"/>
    </w:pPr>
    <w:rPr>
      <w:rFonts w:ascii="Aptos" w:cs="Aptos" w:eastAsia="Aptos" w:hAnsi="Aptos"/>
      <w:color w:val="000000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285"/>
    </w:pPr>
    <w:rPr>
      <w:rFonts w:ascii="Aptos" w:cs="Aptos" w:eastAsia="Aptos" w:hAnsi="Aptos"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fbbc2b7fdf9794657f5cecf609ab8ebc85363d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a la familia de Bruno</dc:title>
  <dc:subject>Informe a la familia</dc:subject>
  <dc:creator>Ayni Aula</dc:creator>
  <cp:lastModifiedBy>Un-named</cp:lastModifiedBy>
  <cp:revision>1</cp:revision>
  <dcterms:created xsi:type="dcterms:W3CDTF">2026-05-18T17:02:07.465Z</dcterms:created>
  <dcterms:modified xsi:type="dcterms:W3CDTF">2026-05-18T17:02:07.465Z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