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F7F7F"/>
          <w:sz w:val="17"/>
          <w:szCs w:val="17"/>
        </w:rPr>
        <w:t xml:space="preserve">DDN  |  Global GTM Solution Engineering Centre of Excellence</w:t>
      </w:r>
    </w:p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DDN Context Fact Sheet</w:t>
      </w:r>
    </w:p>
    <w:p>
      <w:pPr>
        <w:pBdr>
          <w:bottom w:val="single" w:color="1F4E79" w:sz="8" w:space="4"/>
        </w:pBdr>
        <w:spacing w:after="160"/>
      </w:pPr>
      <w:r>
        <w:rPr>
          <w:i/>
          <w:iCs/>
          <w:color w:val="595959"/>
          <w:sz w:val="20"/>
          <w:szCs w:val="20"/>
        </w:rPr>
        <w:t xml:space="preserve">Shared with candidates for the CoE challenge round. Public information plus indicative, rounded internal baselines. Please treat it as confidential and use it only for this exercise.</w:t>
      </w:r>
    </w:p>
    <w:p>
      <w:pPr>
        <w:pStyle w:val="Heading2"/>
        <w:keepNext/>
      </w:pPr>
      <w:r>
        <w:t xml:space="preserve">About DDN (public information)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DDN (DataDirect Networks)</w:t>
      </w:r>
      <w:r>
        <w:t xml:space="preserve"> — founded in 1998, headquartered in California. Provides data intelligence and storage platforms for AI and high-performance computing (HPC).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value proposition:</w:t>
      </w:r>
      <w:r>
        <w:t xml:space="preserve"> keep GPUs and AI workloads fed with data, so expensive compute does not sit idle — for training, inference and research at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Products:</w:t>
      </w:r>
      <w:r>
        <w:t xml:space="preserve"> </w:t>
      </w:r>
      <w:r>
        <w:rPr>
          <w:b/>
          <w:bCs/>
        </w:rPr>
        <w:t xml:space="preserve">EXAScaler</w:t>
      </w:r>
      <w:r>
        <w:t xml:space="preserve"> — parallel file system, long-standing in HPC and AI training, delivered on DDN appliances and also available as a managed service in public cloud (e.g. Google Cloud Managed Lustre). </w:t>
      </w:r>
      <w:r>
        <w:rPr>
          <w:b/>
          <w:bCs/>
        </w:rPr>
        <w:t xml:space="preserve">Infinia</w:t>
      </w:r>
      <w:r>
        <w:t xml:space="preserve"> — software-defined data intelligence platform for enterprise AI and inference (object storage, rich metadata, multi-tenant), also listed on cloud marketplaces. Plus management / monitoring software, support and professional services. DDN therefore sells both </w:t>
      </w:r>
      <w:r>
        <w:rPr>
          <w:b/>
          <w:bCs/>
        </w:rPr>
        <w:t xml:space="preserve">hardware and software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Ecosystem:</w:t>
      </w:r>
      <w:r>
        <w:t xml:space="preserve"> close partnership with NVIDIA; DDN systems are widely used in large AI and supercomputing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Customers:</w:t>
      </w:r>
      <w:r>
        <w:t xml:space="preserve"> AI cloud providers, enterprises building AI infrastructure (e.g. financial services, life sciences, automotive), and research, government and HPC centres — the latter typically buy through formal tenders.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Public customer examples:</w:t>
      </w:r>
      <w:r>
        <w:t xml:space="preserve"> </w:t>
      </w:r>
      <w:hyperlink w:history="1" r:id="rIdike8wqddzi7bnjdrytudt">
        <w:r>
          <w:rPr>
            <w:color w:val="0563C1"/>
            <w:u w:val="single"/>
          </w:rPr>
          <w:t xml:space="preserve">NVIDIA</w:t>
        </w:r>
      </w:hyperlink>
      <w:r>
        <w:t xml:space="preserve">, </w:t>
      </w:r>
      <w:hyperlink w:history="1" r:id="rIdypcnaabrdhjrsrin_nc0e">
        <w:r>
          <w:rPr>
            <w:color w:val="0563C1"/>
            <w:u w:val="single"/>
          </w:rPr>
          <w:t xml:space="preserve">SK Telecom</w:t>
        </w:r>
      </w:hyperlink>
      <w:r>
        <w:t xml:space="preserve"> (GPU-as-a-service cloud), </w:t>
      </w:r>
      <w:hyperlink w:history="1" r:id="rIdvlhm9-xvaga4nw04utcum">
        <w:r>
          <w:rPr>
            <w:color w:val="0563C1"/>
            <w:u w:val="single"/>
          </w:rPr>
          <w:t xml:space="preserve">FPT AI Factory</w:t>
        </w:r>
      </w:hyperlink>
      <w:r>
        <w:t xml:space="preserve"> (sovereign AI), </w:t>
      </w:r>
      <w:hyperlink w:history="1" r:id="rIdrgckoyrktndf4hxzgodyr">
        <w:r>
          <w:rPr>
            <w:color w:val="0563C1"/>
            <w:u w:val="single"/>
          </w:rPr>
          <w:t xml:space="preserve">TotalEnergies</w:t>
        </w:r>
      </w:hyperlink>
      <w:r>
        <w:t xml:space="preserve"> (energy), </w:t>
      </w:r>
      <w:hyperlink w:history="1" r:id="rIdqky9ccglymxx1aqarsmkj">
        <w:r>
          <w:rPr>
            <w:color w:val="0563C1"/>
            <w:u w:val="single"/>
          </w:rPr>
          <w:t xml:space="preserve">Helmholtz Munich</w:t>
        </w:r>
      </w:hyperlink>
      <w:r>
        <w:t xml:space="preserve"> (research), </w:t>
      </w:r>
      <w:hyperlink w:history="1" r:id="rIdqleukngpw7iznymad08v5">
        <w:r>
          <w:rPr>
            <w:color w:val="0563C1"/>
            <w:u w:val="single"/>
          </w:rPr>
          <w:t xml:space="preserve">Salesforce</w:t>
        </w:r>
      </w:hyperlink>
      <w:r>
        <w:t xml:space="preserve"> (AI model training via Google Cloud Managed Lustre). More: </w:t>
      </w:r>
      <w:hyperlink w:history="1" r:id="rId3kuq7vig7qyenmrfyumri">
        <w:r>
          <w:rPr>
            <w:color w:val="0563C1"/>
            <w:u w:val="single"/>
          </w:rPr>
          <w:t xml:space="preserve">ddn.com success stories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Market:</w:t>
      </w:r>
      <w:r>
        <w:t xml:space="preserve"> fast-growing AI storage market; competitors include specialist vendors (e.g. VAST Data, WEKA) and large infrastructure vendors (e.g. Dell, HPE, IBM, NetApp, Pure Storage).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Growth:</w:t>
      </w:r>
      <w:r>
        <w:t xml:space="preserve"> in January 2025 Blackstone invested $300M in DDN at a $5B 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Learn more:</w:t>
      </w:r>
      <w:r>
        <w:t xml:space="preserve"> </w:t>
      </w:r>
      <w:hyperlink w:history="1" r:id="rId8afmufgcq42fgq_xszsrr">
        <w:r>
          <w:rPr>
            <w:color w:val="0563C1"/>
            <w:u w:val="single"/>
          </w:rPr>
          <w:t xml:space="preserve">ddn.com</w:t>
        </w:r>
      </w:hyperlink>
      <w:r>
        <w:t xml:space="preserve"> (products, solution briefs, documentation, blog, press releases) and </w:t>
      </w:r>
      <w:hyperlink w:history="1" r:id="rIdq9hrsvpse_hnd3po4vwfd">
        <w:r>
          <w:rPr>
            <w:color w:val="0563C1"/>
            <w:u w:val="single"/>
          </w:rPr>
          <w:t xml:space="preserve">customer resources</w:t>
        </w:r>
      </w:hyperlink>
      <w:r>
        <w:t xml:space="preserve">.</w:t>
      </w:r>
    </w:p>
    <w:p>
      <w:pPr>
        <w:pStyle w:val="Heading2"/>
        <w:keepNext/>
      </w:pPr>
      <w:r>
        <w:t xml:space="preserve">Public demos and videos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8i5iscg2sxh63fix4nq3">
        <w:r>
          <w:rPr>
            <w:color w:val="0563C1"/>
            <w:u w:val="single"/>
          </w:rPr>
          <w:t xml:space="preserve">DDN YouTube channel</w:t>
        </w:r>
      </w:hyperlink>
      <w:r>
        <w:t xml:space="preserve"> — product demos and talks, e.g. </w:t>
      </w:r>
      <w:hyperlink w:history="1" r:id="rIdof6zxc8qapede48nr-dtq">
        <w:r>
          <w:rPr>
            <w:color w:val="0563C1"/>
            <w:u w:val="single"/>
          </w:rPr>
          <w:t xml:space="preserve">Infinia UI demo</w:t>
        </w:r>
      </w:hyperlink>
      <w:r>
        <w:t xml:space="preserve">, </w:t>
      </w:r>
      <w:hyperlink w:history="1" r:id="rIdulczi2kaargcaz-kvklff">
        <w:r>
          <w:rPr>
            <w:color w:val="0563C1"/>
            <w:u w:val="single"/>
          </w:rPr>
          <w:t xml:space="preserve">Infinia multiprotocol demo</w:t>
        </w:r>
      </w:hyperlink>
      <w:r>
        <w:t xml:space="preserve">, </w:t>
      </w:r>
      <w:hyperlink w:history="1" r:id="rIdrx-aqmvyzty4rtdkzwx9f">
        <w:r>
          <w:rPr>
            <w:color w:val="0563C1"/>
            <w:u w:val="single"/>
          </w:rPr>
          <w:t xml:space="preserve">one-click RAG pipeline with Infinia and NVIDIA NIM</w:t>
        </w:r>
      </w:hyperlink>
      <w:r>
        <w:t xml:space="preserve">, </w:t>
      </w:r>
      <w:hyperlink w:history="1" r:id="rId-s0suu1eu1udcefnhriss">
        <w:r>
          <w:rPr>
            <w:color w:val="0563C1"/>
            <w:u w:val="single"/>
          </w:rPr>
          <w:t xml:space="preserve">Infinia performance demo on Oracle Cloud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0-brvpwg4w1xqxll0ydh">
        <w:r>
          <w:rPr>
            <w:color w:val="0563C1"/>
            <w:u w:val="single"/>
          </w:rPr>
          <w:t xml:space="preserve">Infinia on Google Cloud Marketplace</w:t>
        </w:r>
      </w:hyperlink>
      <w:r>
        <w:t xml:space="preserve"> — public listing (deploying it may incur cloud costs; not required for this exercise).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t8uunosvvti3hpt_65em">
        <w:r>
          <w:rPr>
            <w:color w:val="0563C1"/>
            <w:u w:val="single"/>
          </w:rPr>
          <w:t xml:space="preserve">DDN European demo lab in Bologna, with CINECA</w:t>
        </w:r>
      </w:hyperlink>
      <w:r>
        <w:t xml:space="preserve"> — example of how customers test DDN software on real infrastructure.</w:t>
      </w:r>
    </w:p>
    <w:p>
      <w:pPr>
        <w:pStyle w:val="Heading2"/>
        <w:keepNext/>
      </w:pPr>
      <w:r>
        <w:t xml:space="preserve">The Global GTM Solution Engineering CoE</w:t>
      </w:r>
    </w:p>
    <w:p>
      <w:pPr>
        <w:spacing w:after="100"/>
      </w:pPr>
      <w:r>
        <w:t xml:space="preserve">A new, global Centre of Excellence within Solution Engineering. Its mission is to help DDN's field teams win complex, high-value opportunities by providing reusable, AI-first tools, content and methods — so that SEs spend more time on value-adding customer work. Initial focus areas: RFP / RFI responses, demos, and value selling. A European Executive Briefing Centre is planned.</w:t>
      </w:r>
    </w:p>
    <w:p>
      <w:pPr>
        <w:pStyle w:val="Heading2"/>
        <w:keepNext/>
      </w:pPr>
      <w:r>
        <w:t xml:space="preserve">How DDN typically sells</w:t>
      </w:r>
    </w:p>
    <w:p>
      <w:pPr>
        <w:spacing w:after="100"/>
      </w:pPr>
      <w:r>
        <w:t xml:space="preserve">Discovery → solution architecture and sizing → demo → RFP / RFI (often long, with detailed technical and security sections) → proof of concept or benchmark on real hardware → business case → close. After the sale: deployment, support, capacity expansion and renewal.</w:t>
      </w:r>
    </w:p>
    <w:p>
      <w:pPr>
        <w:pStyle w:val="Heading2"/>
        <w:keepNext/>
      </w:pPr>
      <w:r>
        <w:t xml:space="preserve">Starting point — indicative internal baselines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Rounded, directional figures from SE interviews. They are shared to frame the challenge, not as precise data.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400"/>
      </w:tblGrid>
      <w:tr>
        <w:trPr>
          <w:tblHeader/>
        </w:trPr>
        <w:tc>
          <w:tcPr>
            <w:tcW w:type="dxa" w:w="3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</w:tr>
      <w:tr>
        <w:trPr>
          <w:cantSplit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RFP / RFI volume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Roughly 300 per year across regions</w:t>
            </w:r>
          </w:p>
        </w:tc>
      </w:tr>
      <w:tr>
        <w:trPr>
          <w:cantSplit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RFP outcomes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Meaningful room to improve win rates through better qualification and differentiation</w:t>
            </w:r>
          </w:p>
        </w:tc>
      </w:tr>
      <w:tr>
        <w:trPr>
          <w:cantSplit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RFP effort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Typically 3+ SE-days per response, largely manual</w:t>
            </w:r>
          </w:p>
        </w:tc>
      </w:tr>
      <w:tr>
        <w:trPr>
          <w:cantSplit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Value selling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established value-selling practice yet; conversations tend to focus on technical performance</w:t>
            </w:r>
          </w:p>
        </w:tc>
      </w:tr>
      <w:tr>
        <w:trPr>
          <w:cantSplit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Demos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and hardware demos; the hardware / performance side is constrained by physical lab capacity; demos are often built one-off per opportunity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5"/>
        <w:szCs w:val="15"/>
      </w:rPr>
      <w:t xml:space="preserve">DDN — Candidate fact sheet — confidential   Page </w:t>
    </w:r>
    <w:r>
      <w:rPr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4E7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ke8wqddzi7bnjdrytudt" Type="http://schemas.openxmlformats.org/officeDocument/2006/relationships/hyperlink" Target="https://www.ddn.com/resources/success-stories/nvidia-success-story/" TargetMode="External"/><Relationship Id="rIdypcnaabrdhjrsrin_nc0e" Type="http://schemas.openxmlformats.org/officeDocument/2006/relationships/hyperlink" Target="https://www.ddn.com/resources/success-stories/ddn-powers-gpuaas-innovation-with-exascaler-for-sk-telecoms-petasus-ai-cloud/" TargetMode="External"/><Relationship Id="rIdvlhm9-xvaga4nw04utcum" Type="http://schemas.openxmlformats.org/officeDocument/2006/relationships/hyperlink" Target="https://www.ddn.com/resources/success-stories/fpt-ai-factory-powering-sovereign-ai-with-ddn-and-nvidia/" TargetMode="External"/><Relationship Id="rIdrgckoyrktndf4hxzgodyr" Type="http://schemas.openxmlformats.org/officeDocument/2006/relationships/hyperlink" Target="https://www.ddn.com/resources/success-stories/totalenergies-pangea-5/" TargetMode="External"/><Relationship Id="rIdqky9ccglymxx1aqarsmkj" Type="http://schemas.openxmlformats.org/officeDocument/2006/relationships/hyperlink" Target="https://www.ddn.com/resources/success-stories/helmholtz-munich-success-story/" TargetMode="External"/><Relationship Id="rIdqleukngpw7iznymad08v5" Type="http://schemas.openxmlformats.org/officeDocument/2006/relationships/hyperlink" Target="https://www.ddn.com/resources/success-stories/salesforce-accelerates-ai-model-training-with-google-managed-lustre-powered-by-ddn/" TargetMode="External"/><Relationship Id="rId3kuq7vig7qyenmrfyumri" Type="http://schemas.openxmlformats.org/officeDocument/2006/relationships/hyperlink" Target="https://www.ddn.com/resources/success-stories/" TargetMode="External"/><Relationship Id="rId8afmufgcq42fgq_xszsrr" Type="http://schemas.openxmlformats.org/officeDocument/2006/relationships/hyperlink" Target="https://www.ddn.com" TargetMode="External"/><Relationship Id="rIdq9hrsvpse_hnd3po4vwfd" Type="http://schemas.openxmlformats.org/officeDocument/2006/relationships/hyperlink" Target="https://www.ddn.com/customers/" TargetMode="External"/><Relationship Id="rIdb8i5iscg2sxh63fix4nq3" Type="http://schemas.openxmlformats.org/officeDocument/2006/relationships/hyperlink" Target="https://www.youtube.com/channel/UCqOkz51n1zD-3UX5uUBMBHQ/videos" TargetMode="External"/><Relationship Id="rIdof6zxc8qapede48nr-dtq" Type="http://schemas.openxmlformats.org/officeDocument/2006/relationships/hyperlink" Target="https://www.youtube.com/watch?v=xttJC_Mnnd8" TargetMode="External"/><Relationship Id="rIdulczi2kaargcaz-kvklff" Type="http://schemas.openxmlformats.org/officeDocument/2006/relationships/hyperlink" Target="https://www.youtube.com/watch?v=nU1XQIrz3EQ" TargetMode="External"/><Relationship Id="rIdrx-aqmvyzty4rtdkzwx9f" Type="http://schemas.openxmlformats.org/officeDocument/2006/relationships/hyperlink" Target="https://www.youtube.com/watch?v=coXYOLLbQog" TargetMode="External"/><Relationship Id="rId-s0suu1eu1udcefnhriss" Type="http://schemas.openxmlformats.org/officeDocument/2006/relationships/hyperlink" Target="https://www.youtube.com/watch?v=qcLhKszaGUw" TargetMode="External"/><Relationship Id="rIdq0-brvpwg4w1xqxll0ydh" Type="http://schemas.openxmlformats.org/officeDocument/2006/relationships/hyperlink" Target="https://console.cloud.google.com/marketplace/product/ddnstorage/infinia" TargetMode="External"/><Relationship Id="rIdvt8uunosvvti3hpt_65em" Type="http://schemas.openxmlformats.org/officeDocument/2006/relationships/hyperlink" Target="https://www.ddn.com/press-releases/ddn-opens-european-demo-lab-and-research-office-in-collaboration-with-cineca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2026-09-15T18:15:30.226Z</dcterms:created>
  <dcterms:modified xsi:type="dcterms:W3CDTF">2026-09-15T18:15:30.226Z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