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ectPr>
          <w:type w:val="nextPage"/>
          <w:pgSz w:w="12240" w:h="18369"/>
          <w:pgMar w:left="0" w:right="0" w:gutter="0" w:header="0" w:top="0" w:footer="0" w:bottom="0"/>
          <w:pgNumType w:fmt="decimal"/>
          <w:formProt w:val="false"/>
          <w:textDirection w:val="lrTb"/>
          <w:docGrid w:type="default" w:linePitch="360" w:charSpace="0"/>
        </w:sectPr>
      </w:pPr>
      <w:r>
        <w:rPr/>
        <w:drawing>
          <wp:inline distT="0" distB="0" distL="0" distR="0">
            <wp:extent cx="7772400" cy="11658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772400" cy="11658600"/>
                    </a:xfrm>
                    <a:prstGeom prst="rect">
                      <a:avLst/>
                    </a:prstGeom>
                    <a:noFill/>
                  </pic:spPr>
                </pic:pic>
              </a:graphicData>
            </a:graphic>
          </wp:inline>
        </w:drawing>
      </w:r>
    </w:p>
    <w:p>
      <w:pPr>
        <w:pStyle w:val="Heading1"/>
        <w:spacing w:before="480" w:after="200"/>
        <w:rPr/>
      </w:pPr>
      <w:r>
        <w:rPr>
          <w:rFonts w:eastAsia="Georgia" w:cs="Georgia" w:ascii="Georgia" w:hAnsi="Georgia"/>
          <w:b/>
          <w:bCs/>
          <w:color w:val="1A1A1A"/>
          <w:sz w:val="32"/>
          <w:szCs w:val="32"/>
        </w:rPr>
        <w:t>About This Preview Edition</w:t>
      </w:r>
    </w:p>
    <w:p>
      <w:pPr>
        <w:pStyle w:val="Normal"/>
        <w:spacing w:lineRule="auto" w:line="300" w:before="0" w:after="160"/>
        <w:jc w:val="both"/>
        <w:rPr/>
      </w:pPr>
      <w:r>
        <w:rPr>
          <w:rFonts w:eastAsia="Calibri" w:cs="Calibri"/>
          <w:i w:val="false"/>
          <w:iCs w:val="false"/>
          <w:color w:val="1A1A1A"/>
          <w:sz w:val="21"/>
          <w:szCs w:val="21"/>
        </w:rPr>
        <w:t>This is the Preview Edition of Zcash For Belgians — a pre-launch, public planning document shared ahead of the finished manuscript. It contains the complete table of contents, drafted front matter, a chapter-by-chapter brief for every part of the book (with the key concepts each chapter will cover), a working glossary, and reference data tables. It is being circulated publicly, including on GitHub, both as a standalone educational resource in its own right and as a proposal document for the finished book.</w:t>
      </w:r>
    </w:p>
    <w:p>
      <w:pPr>
        <w:pStyle w:val="Normal"/>
        <w:spacing w:lineRule="auto" w:line="300" w:before="0" w:after="160"/>
        <w:jc w:val="both"/>
        <w:rPr/>
      </w:pPr>
      <w:r>
        <w:rPr>
          <w:rFonts w:eastAsia="Calibri" w:cs="Calibri"/>
          <w:i w:val="false"/>
          <w:iCs w:val="false"/>
          <w:color w:val="1A1A1A"/>
          <w:sz w:val="21"/>
          <w:szCs w:val="21"/>
        </w:rPr>
        <w:t>Because this is a preview rather than a finished manuscript, chapter content is presented as structured briefs rather than full prose, with the exception of the front-matter sections (Preface, Introduction, How to Use This Handbook), which are drafted in full. Figures in the data appendix reflect public sources as of this edition's publication date and will be refreshed for the finished book.</w:t>
      </w:r>
    </w:p>
    <w:p>
      <w:pPr>
        <w:pStyle w:val="Normal"/>
        <w:spacing w:before="0" w:after="100"/>
        <w:rPr/>
      </w:pPr>
      <w:r>
        <w:rPr>
          <w:rFonts w:eastAsia="Calibri" w:cs="Calibri"/>
          <w:i/>
          <w:iCs/>
          <w:color w:val="5B5B5B"/>
          <w:sz w:val="18"/>
          <w:szCs w:val="18"/>
        </w:rPr>
        <w:t xml:space="preserve"> </w:t>
      </w:r>
      <w:r>
        <w:br w:type="page"/>
      </w:r>
    </w:p>
    <w:p>
      <w:pPr>
        <w:pStyle w:val="Heading1"/>
        <w:spacing w:before="480" w:after="200"/>
        <w:rPr/>
      </w:pPr>
      <w:r>
        <w:rPr>
          <w:rFonts w:eastAsia="Georgia" w:cs="Georgia" w:ascii="Georgia" w:hAnsi="Georgia"/>
          <w:b/>
          <w:bCs/>
          <w:color w:val="1A1A1A"/>
          <w:sz w:val="32"/>
          <w:szCs w:val="32"/>
        </w:rPr>
        <w:t>Important Notice</w:t>
      </w:r>
    </w:p>
    <w:p>
      <w:pPr>
        <w:pStyle w:val="Normal"/>
        <w:spacing w:lineRule="auto" w:line="300" w:before="0" w:after="160"/>
        <w:jc w:val="both"/>
        <w:rPr/>
      </w:pPr>
      <w:r>
        <w:rPr>
          <w:rFonts w:eastAsia="Calibri" w:cs="Calibri"/>
          <w:i w:val="false"/>
          <w:iCs w:val="false"/>
          <w:color w:val="1A1A1A"/>
          <w:sz w:val="21"/>
          <w:szCs w:val="21"/>
        </w:rPr>
        <w:t>Nothing in this document should be treated as investment, legal, or tax advice. Cryptocurrency prices are volatile and can fall as well as rise; past performance is not indicative of future results. Figures cited for Zcash's price, market capitalisation, and network statistics are drawn from public market and protocol data as of late July 2026 and will have moved by the time you read this. Regulatory descriptions (MiCA, AML/CFT rules, custody timelines) reflect the public state of EU policy as of this edition and are subject to change.</w:t>
      </w:r>
    </w:p>
    <w:p>
      <w:pPr>
        <w:pStyle w:val="Normal"/>
        <w:spacing w:lineRule="auto" w:line="300" w:before="0" w:after="160"/>
        <w:jc w:val="both"/>
        <w:rPr/>
      </w:pPr>
      <w:r>
        <w:rPr>
          <w:rFonts w:eastAsia="Calibri" w:cs="Calibri"/>
          <w:i w:val="false"/>
          <w:iCs w:val="false"/>
          <w:color w:val="1A1A1A"/>
          <w:sz w:val="21"/>
          <w:szCs w:val="21"/>
        </w:rPr>
        <w:t xml:space="preserve">Neither author is a licensed financial adviser. Views expressed are the authors' own and do not represent the position of any organisation either author is affiliated with. Readers should consult a qualified, independent financial or tax professional before making any decision involving digital assets </w:t>
      </w:r>
      <w:r>
        <w:rPr>
          <w:rFonts w:eastAsia="Calibri" w:cs="Calibri"/>
          <w:i w:val="false"/>
          <w:iCs w:val="false"/>
          <w:color w:val="1A1A1A"/>
          <w:sz w:val="21"/>
          <w:szCs w:val="21"/>
        </w:rPr>
        <w:t>or join the community for a tailored support by experts</w:t>
      </w:r>
      <w:r>
        <w:rPr>
          <w:rFonts w:eastAsia="Calibri" w:cs="Calibri"/>
          <w:i w:val="false"/>
          <w:iCs w:val="false"/>
          <w:color w:val="1A1A1A"/>
          <w:sz w:val="21"/>
          <w:szCs w:val="21"/>
        </w:rPr>
        <w:t>.</w:t>
      </w:r>
      <w:r>
        <w:br w:type="page"/>
      </w:r>
    </w:p>
    <w:p>
      <w:pPr>
        <w:pStyle w:val="Heading1"/>
        <w:spacing w:before="480" w:after="200"/>
        <w:rPr/>
      </w:pPr>
      <w:r>
        <w:rPr>
          <w:rFonts w:eastAsia="Georgia" w:cs="Georgia" w:ascii="Georgia" w:hAnsi="Georgia"/>
          <w:b/>
          <w:bCs/>
          <w:color w:val="1A1A1A"/>
          <w:sz w:val="32"/>
          <w:szCs w:val="32"/>
        </w:rPr>
        <w:t>About the Authors</w:t>
      </w:r>
    </w:p>
    <w:p>
      <w:pPr>
        <w:pStyle w:val="Heading2"/>
        <w:spacing w:before="320" w:after="140"/>
        <w:rPr/>
      </w:pPr>
      <w:r>
        <w:rPr>
          <w:rFonts w:eastAsia="Georgia" w:cs="Georgia" w:ascii="Georgia" w:hAnsi="Georgia"/>
          <w:b/>
          <w:bCs/>
          <w:color w:val="8A6D3B"/>
          <w:sz w:val="24"/>
          <w:szCs w:val="24"/>
        </w:rPr>
        <w:t>Sébastien Commain</w:t>
      </w:r>
    </w:p>
    <w:p>
      <w:pPr>
        <w:pStyle w:val="Normal"/>
        <w:spacing w:lineRule="auto" w:line="300" w:before="0" w:after="160"/>
        <w:jc w:val="both"/>
        <w:rPr/>
      </w:pPr>
      <w:r>
        <w:rPr>
          <w:rFonts w:eastAsia="Calibri" w:cs="Calibri"/>
          <w:i w:val="false"/>
          <w:iCs w:val="false"/>
          <w:color w:val="1A1A1A"/>
          <w:sz w:val="21"/>
          <w:szCs w:val="21"/>
        </w:rPr>
        <w:t>Sébastien Commain is a Brussels-based research and policy specialist in European financial services regulation and capital markets. He holds a Master's degree in European Affairs from Sciences Po Paris and a PhD in political science from the University of Luxembourg, where his doctoral research examined the influence of financial interest groups on the post-financial-crisis reform of bank capital requirements. His career has moved between advocacy and academia: he began in Brussels as a public affairs consultant specialising in financial services, spent several years in academia at the College of Europe, and since 2022 has worked as a Research and Policy Officer at BETTER FINANCE, the European Federation of Investors and Financial Services Users, where his work spans retail-investment and pensions research and evidence-based advocacy on behalf of individual investors. He is a co-author of BETTER FINANCE's annual 'Will You Afford to Retire?' report on the real net returns of European pension savings, and has spoken publicly on European retail-investment and pensions policy, including at Belgium Money Week. Zcash For Belgians is his first book, written independently of his institutional affiliations and reflecting his personal view of digital assets as a policy and investment question worth taking seriously.</w:t>
      </w:r>
    </w:p>
    <w:p>
      <w:pPr>
        <w:pStyle w:val="Heading2"/>
        <w:spacing w:before="320" w:after="140"/>
        <w:rPr/>
      </w:pPr>
      <w:r>
        <w:rPr>
          <w:rFonts w:eastAsia="Georgia" w:cs="Georgia" w:ascii="Georgia" w:hAnsi="Georgia"/>
          <w:b/>
          <w:bCs/>
          <w:color w:val="8A6D3B"/>
          <w:sz w:val="24"/>
          <w:szCs w:val="24"/>
        </w:rPr>
        <w:t>Professor Bart Preneel</w:t>
      </w:r>
    </w:p>
    <w:p>
      <w:pPr>
        <w:pStyle w:val="Normal"/>
        <w:spacing w:lineRule="auto" w:line="300" w:before="0" w:after="160"/>
        <w:jc w:val="both"/>
        <w:rPr/>
      </w:pPr>
      <w:r>
        <w:rPr>
          <w:rFonts w:eastAsia="Calibri" w:cs="Calibri"/>
          <w:i w:val="false"/>
          <w:iCs w:val="false"/>
          <w:color w:val="1A1A1A"/>
          <w:sz w:val="21"/>
          <w:szCs w:val="21"/>
        </w:rPr>
        <w:t>Bart Preneel is a full professor at KU Leuven, where he heads COSIC (Computer Security and Industrial Cryptography), one of Europe's leading academic research groups in cryptography and information security, operated in partnership with imec. He holds an electrical engineering degree and a PhD in Applied Sciences from KU Leuven, was a research fellow at UC Berkeley, and has authored several hundred scientific publications spanning cryptographic algorithm design, cryptanalysis, and privacy-enhancing technologies over more than three decades. He served as President of the International Association for Cryptologic Research (IACR) from 2008 to 2013, received the RSA Award for Excellence in Mathematics in 2014, and was elected to the Royal Academy for Science and the Arts of Belgium in 2024. He was technical lead on Belgium's Coronalert contact-tracing app and regularly advises European institutions on cybersecurity and privacy policy. In this book, Professor Preneel is responsible for the technical accuracy of the chapters on cryptography, protocol design, and network security; the investment, business, and policy framing throughout is Sébastien Commain's.</w:t>
      </w:r>
    </w:p>
    <w:p>
      <w:pPr>
        <w:pStyle w:val="Normal"/>
        <w:spacing w:before="0" w:after="100"/>
        <w:rPr/>
      </w:pPr>
      <w:r>
        <w:rPr>
          <w:rFonts w:eastAsia="Calibri" w:cs="Calibri"/>
          <w:i/>
          <w:iCs/>
          <w:color w:val="5B5B5B"/>
          <w:sz w:val="18"/>
          <w:szCs w:val="18"/>
        </w:rPr>
        <w:t xml:space="preserve"> </w:t>
      </w:r>
      <w:r>
        <w:br w:type="page"/>
      </w:r>
    </w:p>
    <w:p>
      <w:pPr>
        <w:pStyle w:val="Heading1"/>
        <w:spacing w:before="480" w:after="200"/>
        <w:rPr/>
      </w:pPr>
      <w:r>
        <w:rPr>
          <w:rFonts w:eastAsia="Georgia" w:cs="Georgia" w:ascii="Georgia" w:hAnsi="Georgia"/>
          <w:b/>
          <w:bCs/>
          <w:color w:val="1A1A1A"/>
          <w:sz w:val="32"/>
          <w:szCs w:val="32"/>
        </w:rPr>
        <w:t>Preface — Why This Handbook</w:t>
      </w:r>
    </w:p>
    <w:p>
      <w:pPr>
        <w:pStyle w:val="Normal"/>
        <w:spacing w:lineRule="auto" w:line="300" w:before="0" w:after="160"/>
        <w:jc w:val="both"/>
        <w:rPr/>
      </w:pPr>
      <w:r>
        <w:rPr>
          <w:rFonts w:eastAsia="Calibri" w:cs="Calibri"/>
          <w:i w:val="false"/>
          <w:iCs w:val="false"/>
          <w:color w:val="1A1A1A"/>
          <w:sz w:val="21"/>
          <w:szCs w:val="21"/>
        </w:rPr>
        <w:t>This book began as a disagreement that turned into a collaboration. One of us studies how European financial regulation shapes what happens to the money in an ordinary household's or company's account; the other has spent a career building and stress-testing the cryptographic systems that decide what a computer can prove about a transaction without revealing it. We came to Zcash from opposite directions and found, somewhat to our own surprise, that neither the finance framing nor the cryptography framing on its own does the subject justice.</w:t>
      </w:r>
    </w:p>
    <w:p>
      <w:pPr>
        <w:pStyle w:val="Normal"/>
        <w:spacing w:lineRule="auto" w:line="300" w:before="0" w:after="160"/>
        <w:jc w:val="both"/>
        <w:rPr/>
      </w:pPr>
      <w:r>
        <w:rPr>
          <w:rFonts w:eastAsia="Calibri" w:cs="Calibri"/>
          <w:i w:val="false"/>
          <w:iCs w:val="false"/>
          <w:color w:val="1A1A1A"/>
          <w:sz w:val="21"/>
          <w:szCs w:val="21"/>
        </w:rPr>
        <w:t>Most existing material on Zcash falls into one of two camps. Technical documentation, written by and for cryptographers and protocol engineers, is precise but largely inaccessible to anyone without that background. Investment content, written by and for traders, treats the protocol as a black box and the asset as a price chart. We wanted a third thing: a resource broad enough to teach the cryptography properly, place it against the wider landscape of how blockchains and digital assets are secured and attacked, and still land on the concrete questions a Belgian saver, business owner, or policy reader actually has.</w:t>
      </w:r>
    </w:p>
    <w:p>
      <w:pPr>
        <w:pStyle w:val="Normal"/>
        <w:spacing w:lineRule="auto" w:line="300" w:before="0" w:after="160"/>
        <w:jc w:val="both"/>
        <w:rPr/>
      </w:pPr>
      <w:r>
        <w:rPr>
          <w:rFonts w:eastAsia="Calibri" w:cs="Calibri"/>
          <w:i w:val="false"/>
          <w:iCs w:val="false"/>
          <w:color w:val="1A1A1A"/>
          <w:sz w:val="21"/>
          <w:szCs w:val="21"/>
        </w:rPr>
        <w:t>We have organised the book as a training curriculum rather than a linear narrative, because we expect it to be used that way: by a study group working through the cryptography and security chapters together, by a business owner jumping straight to the payments and compliance sections, by a new wallet user who wants the hands-on chapters before anything else. Every part is written to stand largely on its own, cross-referenced rather than dependent on what came before.</w:t>
      </w:r>
    </w:p>
    <w:p>
      <w:pPr>
        <w:pStyle w:val="Normal"/>
        <w:spacing w:lineRule="auto" w:line="300" w:before="0" w:after="160"/>
        <w:jc w:val="both"/>
        <w:rPr/>
      </w:pPr>
      <w:r>
        <w:rPr>
          <w:rFonts w:eastAsia="Calibri" w:cs="Calibri"/>
          <w:i w:val="false"/>
          <w:iCs w:val="false"/>
          <w:color w:val="1A1A1A"/>
          <w:sz w:val="21"/>
          <w:szCs w:val="21"/>
        </w:rPr>
        <w:t>We have also tried to hold two things in tension that a great deal of writing on crypto assets collapses into one: genuine respect for what shielded transactions make technically possible, and genuine honesty about volatility, regulatory uncertainty, and a serious security incident in 2026 that we examine in full rather than minimise. A training handbook that only taught the optimistic case would not be a training handbook — it would be a pitch. This is the former.</w:t>
      </w:r>
      <w:r>
        <w:br w:type="page"/>
      </w:r>
    </w:p>
    <w:p>
      <w:pPr>
        <w:pStyle w:val="Heading1"/>
        <w:spacing w:before="480" w:after="200"/>
        <w:rPr/>
      </w:pPr>
      <w:r>
        <w:rPr>
          <w:rFonts w:eastAsia="Georgia" w:cs="Georgia" w:ascii="Georgia" w:hAnsi="Georgia"/>
          <w:b/>
          <w:bCs/>
          <w:color w:val="1A1A1A"/>
          <w:sz w:val="32"/>
          <w:szCs w:val="32"/>
        </w:rPr>
        <w:t>Introduction — Learning Zcash Properly</w:t>
      </w:r>
    </w:p>
    <w:p>
      <w:pPr>
        <w:pStyle w:val="Normal"/>
        <w:spacing w:lineRule="auto" w:line="300" w:before="0" w:after="160"/>
        <w:jc w:val="both"/>
        <w:rPr/>
      </w:pPr>
      <w:r>
        <w:rPr>
          <w:rFonts w:eastAsia="Calibri" w:cs="Calibri"/>
          <w:i w:val="false"/>
          <w:iCs w:val="false"/>
          <w:color w:val="1A1A1A"/>
          <w:sz w:val="21"/>
          <w:szCs w:val="21"/>
        </w:rPr>
        <w:t>Zcash is, depending on who is describing it, a cryptographic research project, a digital asset, a payments network, or a compliance question regulators are still working out how to answer. It is, in fact, all four at once, and understanding any one dimension in isolation leaves a distorted picture. A trader who has never opened the protocol specification will misprice the risk of the next security disclosure. An engineer who has never looked at a market depth chart will misjudge how liquid their shielded holdings really are. A reader who understands neither the specific protocol nor the wider landscape it sits in — how blockchains get attacked, how other privacy systems solve the same problem differently, what a smart-contract exploit actually looks like — will struggle to judge Zcash's claims against anything but its own marketing.</w:t>
      </w:r>
    </w:p>
    <w:p>
      <w:pPr>
        <w:pStyle w:val="Normal"/>
        <w:spacing w:lineRule="auto" w:line="300" w:before="0" w:after="160"/>
        <w:jc w:val="both"/>
        <w:rPr/>
      </w:pPr>
      <w:r>
        <w:rPr>
          <w:rFonts w:eastAsia="Calibri" w:cs="Calibri"/>
          <w:i w:val="false"/>
          <w:iCs w:val="false"/>
          <w:color w:val="1A1A1A"/>
          <w:sz w:val="21"/>
          <w:szCs w:val="21"/>
        </w:rPr>
        <w:t>This handbook is built to close all three gaps at once. It opens with the history of financial privacy, because the idea that a transaction can be nobody else's business is not a cryptographic novelty — it is the default humanity operated under for most of recorded history, and the digital economy is the anomaly. From there it moves into a genuine technical education specific to Zcash: zero-knowledge proofs, the zk-SNARK constructions it relies on, and a full, honest account of the vulnerability disclosed in the Orchard shielded pool in 2026 and how the protocol responded. It then deliberately widens the lens, with a part dedicated to the broader cryptocurrency and security landscape — consensus mechanisms across the industry, how other privacy systems like Monero and Mimblewimble-based chains approach the same problem, how smart-contract exploits and custody failures have actually happened elsewhere, and what quantum computing does and doesn't threaten — before returning to Zcash specifically with a hands-on part covering wallets, nodes, and a first shielded transaction.</w:t>
      </w:r>
    </w:p>
    <w:p>
      <w:pPr>
        <w:pStyle w:val="Normal"/>
        <w:spacing w:lineRule="auto" w:line="300" w:before="0" w:after="160"/>
        <w:jc w:val="both"/>
        <w:rPr/>
      </w:pPr>
      <w:r>
        <w:rPr>
          <w:rFonts w:eastAsia="Calibri" w:cs="Calibri"/>
          <w:i w:val="false"/>
          <w:iCs w:val="false"/>
          <w:color w:val="1A1A1A"/>
          <w:sz w:val="21"/>
          <w:szCs w:val="21"/>
        </w:rPr>
        <w:t>The chapters that follow turn to markets and money: what Zcash is as an asset relative to Bitcoin and Monero, how institutional interest has developed, what shielded balances change about active trading, and how a business can use a stablecoin alongside Zcash to capture settlement speed without taking on open-ended currency risk. A part on governance and the wider ecosystem — how protocol changes are actually proposed and adopted, who funds ongoing development, how Zcash's governance compares with Bitcoin's and Ethereum's, and where Belgium's own community fits into a global network — sits between the market chapters and the closing sections on Belgian context and EU regulation, which bring the discussion back to where both of us actually work and live.</w:t>
      </w:r>
    </w:p>
    <w:p>
      <w:pPr>
        <w:pStyle w:val="Normal"/>
        <w:spacing w:lineRule="auto" w:line="300" w:before="0" w:after="160"/>
        <w:jc w:val="both"/>
        <w:rPr/>
      </w:pPr>
      <w:r>
        <w:rPr>
          <w:rFonts w:eastAsia="Calibri" w:cs="Calibri"/>
          <w:i w:val="false"/>
          <w:iCs w:val="false"/>
          <w:color w:val="1A1A1A"/>
          <w:sz w:val="21"/>
          <w:szCs w:val="21"/>
        </w:rPr>
        <w:t>Throughout, we have tried to teach rather than persuade: to give a reader, regardless of where they enter the book, the working knowledge to form their own view of where — if anywhere — a privacy-preserving digital asset belongs in how they save, invest, transact, or run a business. That is the only outcome either of us wants from a training handbook.</w:t>
      </w:r>
      <w:r>
        <w:br w:type="page"/>
      </w:r>
    </w:p>
    <w:p>
      <w:pPr>
        <w:pStyle w:val="Heading1"/>
        <w:spacing w:before="480" w:after="200"/>
        <w:rPr/>
      </w:pPr>
      <w:r>
        <w:rPr>
          <w:rFonts w:eastAsia="Georgia" w:cs="Georgia" w:ascii="Georgia" w:hAnsi="Georgia"/>
          <w:b/>
          <w:bCs/>
          <w:color w:val="1A1A1A"/>
          <w:sz w:val="32"/>
          <w:szCs w:val="32"/>
        </w:rPr>
        <w:t>How to Use This Handbook</w:t>
      </w:r>
    </w:p>
    <w:p>
      <w:pPr>
        <w:pStyle w:val="Normal"/>
        <w:spacing w:lineRule="auto" w:line="300" w:before="0" w:after="160"/>
        <w:jc w:val="both"/>
        <w:rPr/>
      </w:pPr>
      <w:r>
        <w:rPr>
          <w:rFonts w:eastAsia="Calibri" w:cs="Calibri"/>
          <w:i w:val="false"/>
          <w:iCs w:val="false"/>
          <w:color w:val="1A1A1A"/>
          <w:sz w:val="21"/>
          <w:szCs w:val="21"/>
        </w:rPr>
        <w:t>The book is organised as twelve parts plus a reference section, structured so that a reader or study group can enter at the part most relevant to them.</w:t>
      </w:r>
    </w:p>
    <w:p>
      <w:pPr>
        <w:pStyle w:val="ListParagraph"/>
        <w:numPr>
          <w:ilvl w:val="0"/>
          <w:numId w:val="3"/>
        </w:numPr>
        <w:spacing w:before="0" w:after="60"/>
        <w:rPr/>
      </w:pPr>
      <w:r>
        <w:rPr>
          <w:rFonts w:eastAsia="Calibri" w:cs="Calibri"/>
          <w:color w:val="1A1A1A"/>
          <w:sz w:val="20"/>
          <w:szCs w:val="20"/>
        </w:rPr>
        <w:t>New to crypto entirely? Start at Part I and read through Part IV before anything else.</w:t>
      </w:r>
    </w:p>
    <w:p>
      <w:pPr>
        <w:pStyle w:val="ListParagraph"/>
        <w:numPr>
          <w:ilvl w:val="0"/>
          <w:numId w:val="1"/>
        </w:numPr>
        <w:spacing w:before="0" w:after="60"/>
        <w:rPr/>
      </w:pPr>
      <w:r>
        <w:rPr>
          <w:rFonts w:eastAsia="Calibri" w:cs="Calibri"/>
          <w:color w:val="1A1A1A"/>
          <w:sz w:val="20"/>
          <w:szCs w:val="20"/>
        </w:rPr>
        <w:t>Comfortable with Bitcoin, want the Zcash-specific protocol detail? Start at Part II.</w:t>
      </w:r>
    </w:p>
    <w:p>
      <w:pPr>
        <w:pStyle w:val="ListParagraph"/>
        <w:numPr>
          <w:ilvl w:val="0"/>
          <w:numId w:val="1"/>
        </w:numPr>
        <w:spacing w:before="0" w:after="60"/>
        <w:rPr/>
      </w:pPr>
      <w:r>
        <w:rPr>
          <w:rFonts w:eastAsia="Calibri" w:cs="Calibri"/>
          <w:color w:val="1A1A1A"/>
          <w:sz w:val="20"/>
          <w:szCs w:val="20"/>
        </w:rPr>
        <w:t>Want the broader security and industry picture — other privacy coins, smart-contract risk, quantum threats? Go to Part III.</w:t>
      </w:r>
    </w:p>
    <w:p>
      <w:pPr>
        <w:pStyle w:val="ListParagraph"/>
        <w:numPr>
          <w:ilvl w:val="0"/>
          <w:numId w:val="1"/>
        </w:numPr>
        <w:spacing w:before="0" w:after="60"/>
        <w:rPr/>
      </w:pPr>
      <w:r>
        <w:rPr>
          <w:rFonts w:eastAsia="Calibri" w:cs="Calibri"/>
          <w:color w:val="1A1A1A"/>
          <w:sz w:val="20"/>
          <w:szCs w:val="20"/>
        </w:rPr>
        <w:t>Want to actually use a wallet and send a shielded transaction? Go straight to Part IV.</w:t>
      </w:r>
    </w:p>
    <w:p>
      <w:pPr>
        <w:pStyle w:val="ListParagraph"/>
        <w:numPr>
          <w:ilvl w:val="0"/>
          <w:numId w:val="1"/>
        </w:numPr>
        <w:spacing w:before="0" w:after="60"/>
        <w:rPr/>
      </w:pPr>
      <w:r>
        <w:rPr>
          <w:rFonts w:eastAsia="Calibri" w:cs="Calibri"/>
          <w:color w:val="1A1A1A"/>
          <w:sz w:val="20"/>
          <w:szCs w:val="20"/>
        </w:rPr>
        <w:t>Primarily interested in the investment case? Parts V and XI (risk) pair together.</w:t>
      </w:r>
    </w:p>
    <w:p>
      <w:pPr>
        <w:pStyle w:val="ListParagraph"/>
        <w:numPr>
          <w:ilvl w:val="0"/>
          <w:numId w:val="1"/>
        </w:numPr>
        <w:spacing w:before="0" w:after="60"/>
        <w:rPr/>
      </w:pPr>
      <w:r>
        <w:rPr>
          <w:rFonts w:eastAsia="Calibri" w:cs="Calibri"/>
          <w:color w:val="1A1A1A"/>
          <w:sz w:val="20"/>
          <w:szCs w:val="20"/>
        </w:rPr>
        <w:t>Run a business considering crypto payment rails? Part VII, then Part X for compliance.</w:t>
      </w:r>
    </w:p>
    <w:p>
      <w:pPr>
        <w:pStyle w:val="ListParagraph"/>
        <w:numPr>
          <w:ilvl w:val="0"/>
          <w:numId w:val="1"/>
        </w:numPr>
        <w:spacing w:before="0" w:after="60"/>
        <w:rPr/>
      </w:pPr>
      <w:r>
        <w:rPr>
          <w:rFonts w:eastAsia="Calibri" w:cs="Calibri"/>
          <w:color w:val="1A1A1A"/>
          <w:sz w:val="20"/>
          <w:szCs w:val="20"/>
        </w:rPr>
        <w:t>Interested in how the protocol evolves and who funds it? Part VIII.</w:t>
      </w:r>
    </w:p>
    <w:p>
      <w:pPr>
        <w:pStyle w:val="ListParagraph"/>
        <w:numPr>
          <w:ilvl w:val="0"/>
          <w:numId w:val="1"/>
        </w:numPr>
        <w:spacing w:before="0" w:after="60"/>
        <w:rPr/>
      </w:pPr>
      <w:r>
        <w:rPr>
          <w:rFonts w:eastAsia="Calibri" w:cs="Calibri"/>
          <w:color w:val="1A1A1A"/>
          <w:sz w:val="20"/>
          <w:szCs w:val="20"/>
        </w:rPr>
        <w:t>Want the Belgian macro and policy context first? Start at Part IX.</w:t>
      </w:r>
    </w:p>
    <w:p>
      <w:pPr>
        <w:pStyle w:val="Normal"/>
        <w:spacing w:lineRule="auto" w:line="300" w:before="0" w:after="160"/>
        <w:jc w:val="both"/>
        <w:rPr/>
      </w:pPr>
      <w:r>
        <w:rPr>
          <w:rFonts w:eastAsia="Calibri" w:cs="Calibri"/>
          <w:i w:val="false"/>
          <w:iCs w:val="false"/>
          <w:color w:val="1A1A1A"/>
          <w:sz w:val="21"/>
          <w:szCs w:val="21"/>
        </w:rPr>
        <w:t>Every chapter opens with a short summary and closes with a 'What to remember' box and, where relevant, a short practical exercise. Technical asides that go deeper than the general narrative requires are set off in grey panels throughout Professor Preneel's chapters, so they can be skipped without losing the thread. A full glossary is provided as Appendix A, and every term is bolded at first use in the body text.</w:t>
      </w:r>
      <w:r>
        <w:br w:type="page"/>
      </w:r>
    </w:p>
    <w:p>
      <w:pPr>
        <w:pStyle w:val="Heading1"/>
        <w:spacing w:before="480" w:after="200"/>
        <w:rPr/>
      </w:pPr>
      <w:r>
        <w:rPr>
          <w:rFonts w:eastAsia="Georgia" w:cs="Georgia" w:ascii="Georgia" w:hAnsi="Georgia"/>
          <w:b/>
          <w:bCs/>
          <w:color w:val="1A1A1A"/>
          <w:sz w:val="32"/>
          <w:szCs w:val="32"/>
        </w:rPr>
        <w:t>Table of Contents</w:t>
      </w:r>
    </w:p>
    <w:p>
      <w:pPr>
        <w:pStyle w:val="Heading2"/>
        <w:spacing w:before="320" w:after="140"/>
        <w:rPr/>
      </w:pPr>
      <w:r>
        <w:rPr>
          <w:rFonts w:eastAsia="Georgia" w:cs="Georgia" w:ascii="Georgia" w:hAnsi="Georgia"/>
          <w:b/>
          <w:bCs/>
          <w:color w:val="8A6D3B"/>
          <w:sz w:val="24"/>
          <w:szCs w:val="24"/>
        </w:rPr>
        <w:t>Front Matter</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About This Preview Edition</w:t>
      </w:r>
      <w:r>
        <w:rPr>
          <w:rFonts w:eastAsia="Calibri" w:cs="Calibri"/>
          <w:color w:val="5B5B5B"/>
          <w:sz w:val="21"/>
          <w:szCs w:val="21"/>
        </w:rPr>
        <w:tab/>
        <w:t>1 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Important Notice</w:t>
      </w:r>
      <w:r>
        <w:rPr>
          <w:rFonts w:eastAsia="Calibri" w:cs="Calibri"/>
          <w:color w:val="5B5B5B"/>
          <w:sz w:val="21"/>
          <w:szCs w:val="21"/>
        </w:rPr>
        <w:tab/>
        <w:t>1 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About the Authors</w:t>
      </w:r>
      <w:r>
        <w:rPr>
          <w:rFonts w:eastAsia="Calibri" w:cs="Calibri"/>
          <w:color w:val="5B5B5B"/>
          <w:sz w:val="21"/>
          <w:szCs w:val="21"/>
        </w:rPr>
        <w:tab/>
        <w:t>2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Preface — Why This Handbook</w:t>
      </w:r>
      <w:r>
        <w:rPr>
          <w:rFonts w:eastAsia="Calibri" w:cs="Calibri"/>
          <w:color w:val="5B5B5B"/>
          <w:sz w:val="21"/>
          <w:szCs w:val="21"/>
        </w:rPr>
        <w:tab/>
        <w:t>3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Introduction — Learning Zcash Properly</w:t>
      </w:r>
      <w:r>
        <w:rPr>
          <w:rFonts w:eastAsia="Calibri" w:cs="Calibri"/>
          <w:color w:val="5B5B5B"/>
          <w:sz w:val="21"/>
          <w:szCs w:val="21"/>
        </w:rPr>
        <w:tab/>
        <w:t>4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How to Use This Handbook</w:t>
      </w:r>
      <w:r>
        <w:rPr>
          <w:rFonts w:eastAsia="Calibri" w:cs="Calibri"/>
          <w:color w:val="5B5B5B"/>
          <w:sz w:val="21"/>
          <w:szCs w:val="21"/>
        </w:rPr>
        <w:tab/>
        <w:t>2 pp.</w:t>
      </w:r>
    </w:p>
    <w:p>
      <w:pPr>
        <w:pStyle w:val="Heading2"/>
        <w:spacing w:before="320" w:after="140"/>
        <w:rPr/>
      </w:pPr>
      <w:r>
        <w:rPr>
          <w:rFonts w:eastAsia="Georgia" w:cs="Georgia" w:ascii="Georgia" w:hAnsi="Georgia"/>
          <w:b/>
          <w:bCs/>
          <w:color w:val="8A6D3B"/>
          <w:sz w:val="24"/>
          <w:szCs w:val="24"/>
        </w:rPr>
        <w:t>Parts I–XII</w:t>
      </w:r>
    </w:p>
    <w:p>
      <w:pPr>
        <w:pStyle w:val="Normal"/>
        <w:tabs>
          <w:tab w:val="clear" w:pos="720"/>
          <w:tab w:val="right" w:pos="9026" w:leader="dot"/>
        </w:tabs>
        <w:spacing w:before="0" w:after="40"/>
        <w:rPr/>
      </w:pPr>
      <w:r>
        <w:rPr>
          <w:rFonts w:eastAsia="Calibri" w:cs="Calibri"/>
          <w:b/>
          <w:bCs/>
          <w:color w:val="8A6D3B"/>
          <w:sz w:val="21"/>
          <w:szCs w:val="21"/>
        </w:rPr>
        <w:t xml:space="preserve">Part I.  </w:t>
      </w:r>
      <w:r>
        <w:rPr>
          <w:rFonts w:eastAsia="Calibri" w:cs="Calibri"/>
          <w:color w:val="1A1A1A"/>
          <w:sz w:val="21"/>
          <w:szCs w:val="21"/>
        </w:rPr>
        <w:t>Money, Privacy, and the Digital Turn</w:t>
      </w:r>
      <w:r>
        <w:rPr>
          <w:rFonts w:eastAsia="Calibri" w:cs="Calibri"/>
          <w:color w:val="5B5B5B"/>
          <w:sz w:val="21"/>
          <w:szCs w:val="21"/>
        </w:rPr>
        <w:tab/>
        <w:t>37 pp.</w:t>
      </w:r>
    </w:p>
    <w:p>
      <w:pPr>
        <w:pStyle w:val="Normal"/>
        <w:tabs>
          <w:tab w:val="clear" w:pos="720"/>
          <w:tab w:val="right" w:pos="9026" w:leader="dot"/>
        </w:tabs>
        <w:spacing w:before="0" w:after="40"/>
        <w:rPr/>
      </w:pPr>
      <w:r>
        <w:rPr>
          <w:rFonts w:eastAsia="Calibri" w:cs="Calibri"/>
          <w:b/>
          <w:bCs/>
          <w:color w:val="8A6D3B"/>
          <w:sz w:val="21"/>
          <w:szCs w:val="21"/>
        </w:rPr>
        <w:t xml:space="preserve">Part II.  </w:t>
      </w:r>
      <w:r>
        <w:rPr>
          <w:rFonts w:eastAsia="Calibri" w:cs="Calibri"/>
          <w:color w:val="1A1A1A"/>
          <w:sz w:val="21"/>
          <w:szCs w:val="21"/>
        </w:rPr>
        <w:t>Zcash Explained: Cryptography and Protocol</w:t>
      </w:r>
      <w:r>
        <w:rPr>
          <w:rFonts w:eastAsia="Calibri" w:cs="Calibri"/>
          <w:color w:val="5B5B5B"/>
          <w:sz w:val="21"/>
          <w:szCs w:val="21"/>
        </w:rPr>
        <w:tab/>
        <w:t>68 pp.</w:t>
      </w:r>
    </w:p>
    <w:p>
      <w:pPr>
        <w:pStyle w:val="Normal"/>
        <w:tabs>
          <w:tab w:val="clear" w:pos="720"/>
          <w:tab w:val="right" w:pos="9026" w:leader="dot"/>
        </w:tabs>
        <w:spacing w:before="0" w:after="40"/>
        <w:rPr/>
      </w:pPr>
      <w:r>
        <w:rPr>
          <w:rFonts w:eastAsia="Calibri" w:cs="Calibri"/>
          <w:b/>
          <w:bCs/>
          <w:color w:val="8A6D3B"/>
          <w:sz w:val="21"/>
          <w:szCs w:val="21"/>
        </w:rPr>
        <w:t xml:space="preserve">Part III.  </w:t>
      </w:r>
      <w:r>
        <w:rPr>
          <w:rFonts w:eastAsia="Calibri" w:cs="Calibri"/>
          <w:color w:val="1A1A1A"/>
          <w:sz w:val="21"/>
          <w:szCs w:val="21"/>
        </w:rPr>
        <w:t>Beyond Zcash: Consensus, Security, and the Broader Cryptocurrency Landscape</w:t>
      </w:r>
      <w:r>
        <w:rPr>
          <w:rFonts w:eastAsia="Calibri" w:cs="Calibri"/>
          <w:color w:val="5B5B5B"/>
          <w:sz w:val="21"/>
          <w:szCs w:val="21"/>
        </w:rPr>
        <w:tab/>
        <w:t>45 pp.</w:t>
      </w:r>
    </w:p>
    <w:p>
      <w:pPr>
        <w:pStyle w:val="Normal"/>
        <w:tabs>
          <w:tab w:val="clear" w:pos="720"/>
          <w:tab w:val="right" w:pos="9026" w:leader="dot"/>
        </w:tabs>
        <w:spacing w:before="0" w:after="40"/>
        <w:rPr/>
      </w:pPr>
      <w:r>
        <w:rPr>
          <w:rFonts w:eastAsia="Calibri" w:cs="Calibri"/>
          <w:b/>
          <w:bCs/>
          <w:color w:val="8A6D3B"/>
          <w:sz w:val="21"/>
          <w:szCs w:val="21"/>
        </w:rPr>
        <w:t xml:space="preserve">Part IV.  </w:t>
      </w:r>
      <w:r>
        <w:rPr>
          <w:rFonts w:eastAsia="Calibri" w:cs="Calibri"/>
          <w:color w:val="1A1A1A"/>
          <w:sz w:val="21"/>
          <w:szCs w:val="21"/>
        </w:rPr>
        <w:t>Hands-On Zcash: Wallets, Nodes, and Your First Shielded Transaction</w:t>
      </w:r>
      <w:r>
        <w:rPr>
          <w:rFonts w:eastAsia="Calibri" w:cs="Calibri"/>
          <w:color w:val="5B5B5B"/>
          <w:sz w:val="21"/>
          <w:szCs w:val="21"/>
        </w:rPr>
        <w:tab/>
        <w:t>41 pp.</w:t>
      </w:r>
    </w:p>
    <w:p>
      <w:pPr>
        <w:pStyle w:val="Normal"/>
        <w:tabs>
          <w:tab w:val="clear" w:pos="720"/>
          <w:tab w:val="right" w:pos="9026" w:leader="dot"/>
        </w:tabs>
        <w:spacing w:before="0" w:after="40"/>
        <w:rPr/>
      </w:pPr>
      <w:r>
        <w:rPr>
          <w:rFonts w:eastAsia="Calibri" w:cs="Calibri"/>
          <w:b/>
          <w:bCs/>
          <w:color w:val="8A6D3B"/>
          <w:sz w:val="21"/>
          <w:szCs w:val="21"/>
        </w:rPr>
        <w:t xml:space="preserve">Part V.  </w:t>
      </w:r>
      <w:r>
        <w:rPr>
          <w:rFonts w:eastAsia="Calibri" w:cs="Calibri"/>
          <w:color w:val="1A1A1A"/>
          <w:sz w:val="21"/>
          <w:szCs w:val="21"/>
        </w:rPr>
        <w:t>Zcash as an Asset</w:t>
      </w:r>
      <w:r>
        <w:rPr>
          <w:rFonts w:eastAsia="Calibri" w:cs="Calibri"/>
          <w:color w:val="5B5B5B"/>
          <w:sz w:val="21"/>
          <w:szCs w:val="21"/>
        </w:rPr>
        <w:tab/>
        <w:t>40 pp.</w:t>
      </w:r>
    </w:p>
    <w:p>
      <w:pPr>
        <w:pStyle w:val="Normal"/>
        <w:tabs>
          <w:tab w:val="clear" w:pos="720"/>
          <w:tab w:val="right" w:pos="9026" w:leader="dot"/>
        </w:tabs>
        <w:spacing w:before="0" w:after="40"/>
        <w:rPr/>
      </w:pPr>
      <w:r>
        <w:rPr>
          <w:rFonts w:eastAsia="Calibri" w:cs="Calibri"/>
          <w:b/>
          <w:bCs/>
          <w:color w:val="8A6D3B"/>
          <w:sz w:val="21"/>
          <w:szCs w:val="21"/>
        </w:rPr>
        <w:t xml:space="preserve">Part VI.  </w:t>
      </w:r>
      <w:r>
        <w:rPr>
          <w:rFonts w:eastAsia="Calibri" w:cs="Calibri"/>
          <w:color w:val="1A1A1A"/>
          <w:sz w:val="21"/>
          <w:szCs w:val="21"/>
        </w:rPr>
        <w:t>Trading, Payments, and Using Zcash</w:t>
      </w:r>
      <w:r>
        <w:rPr>
          <w:rFonts w:eastAsia="Calibri" w:cs="Calibri"/>
          <w:color w:val="5B5B5B"/>
          <w:sz w:val="21"/>
          <w:szCs w:val="21"/>
        </w:rPr>
        <w:tab/>
        <w:t>35 pp.</w:t>
      </w:r>
    </w:p>
    <w:p>
      <w:pPr>
        <w:pStyle w:val="Normal"/>
        <w:tabs>
          <w:tab w:val="clear" w:pos="720"/>
          <w:tab w:val="right" w:pos="9026" w:leader="dot"/>
        </w:tabs>
        <w:spacing w:before="0" w:after="40"/>
        <w:rPr/>
      </w:pPr>
      <w:r>
        <w:rPr>
          <w:rFonts w:eastAsia="Calibri" w:cs="Calibri"/>
          <w:b/>
          <w:bCs/>
          <w:color w:val="8A6D3B"/>
          <w:sz w:val="21"/>
          <w:szCs w:val="21"/>
        </w:rPr>
        <w:t xml:space="preserve">Part VII.  </w:t>
      </w:r>
      <w:r>
        <w:rPr>
          <w:rFonts w:eastAsia="Calibri" w:cs="Calibri"/>
          <w:color w:val="1A1A1A"/>
          <w:sz w:val="21"/>
          <w:szCs w:val="21"/>
        </w:rPr>
        <w:t>Zcash for Belgian Business</w:t>
      </w:r>
      <w:r>
        <w:rPr>
          <w:rFonts w:eastAsia="Calibri" w:cs="Calibri"/>
          <w:color w:val="5B5B5B"/>
          <w:sz w:val="21"/>
          <w:szCs w:val="21"/>
        </w:rPr>
        <w:tab/>
        <w:t>40 pp.</w:t>
      </w:r>
    </w:p>
    <w:p>
      <w:pPr>
        <w:pStyle w:val="Normal"/>
        <w:tabs>
          <w:tab w:val="clear" w:pos="720"/>
          <w:tab w:val="right" w:pos="9026" w:leader="dot"/>
        </w:tabs>
        <w:spacing w:before="0" w:after="40"/>
        <w:rPr/>
      </w:pPr>
      <w:r>
        <w:rPr>
          <w:rFonts w:eastAsia="Calibri" w:cs="Calibri"/>
          <w:b/>
          <w:bCs/>
          <w:color w:val="8A6D3B"/>
          <w:sz w:val="21"/>
          <w:szCs w:val="21"/>
        </w:rPr>
        <w:t xml:space="preserve">Part VIII.  </w:t>
      </w:r>
      <w:r>
        <w:rPr>
          <w:rFonts w:eastAsia="Calibri" w:cs="Calibri"/>
          <w:color w:val="1A1A1A"/>
          <w:sz w:val="21"/>
          <w:szCs w:val="21"/>
        </w:rPr>
        <w:t>Governance, Development, and the Zcash Ecosystem</w:t>
      </w:r>
      <w:r>
        <w:rPr>
          <w:rFonts w:eastAsia="Calibri" w:cs="Calibri"/>
          <w:color w:val="5B5B5B"/>
          <w:sz w:val="21"/>
          <w:szCs w:val="21"/>
        </w:rPr>
        <w:tab/>
        <w:t>42 pp.</w:t>
      </w:r>
    </w:p>
    <w:p>
      <w:pPr>
        <w:pStyle w:val="Normal"/>
        <w:tabs>
          <w:tab w:val="clear" w:pos="720"/>
          <w:tab w:val="right" w:pos="9026" w:leader="dot"/>
        </w:tabs>
        <w:spacing w:before="0" w:after="40"/>
        <w:rPr/>
      </w:pPr>
      <w:r>
        <w:rPr>
          <w:rFonts w:eastAsia="Calibri" w:cs="Calibri"/>
          <w:b/>
          <w:bCs/>
          <w:color w:val="8A6D3B"/>
          <w:sz w:val="21"/>
          <w:szCs w:val="21"/>
        </w:rPr>
        <w:t xml:space="preserve">Part IX.  </w:t>
      </w:r>
      <w:r>
        <w:rPr>
          <w:rFonts w:eastAsia="Calibri" w:cs="Calibri"/>
          <w:color w:val="1A1A1A"/>
          <w:sz w:val="21"/>
          <w:szCs w:val="21"/>
        </w:rPr>
        <w:t>Belgium in Context</w:t>
      </w:r>
      <w:r>
        <w:rPr>
          <w:rFonts w:eastAsia="Calibri" w:cs="Calibri"/>
          <w:color w:val="5B5B5B"/>
          <w:sz w:val="21"/>
          <w:szCs w:val="21"/>
        </w:rPr>
        <w:tab/>
        <w:t>35 pp.</w:t>
      </w:r>
    </w:p>
    <w:p>
      <w:pPr>
        <w:pStyle w:val="Normal"/>
        <w:tabs>
          <w:tab w:val="clear" w:pos="720"/>
          <w:tab w:val="right" w:pos="9026" w:leader="dot"/>
        </w:tabs>
        <w:spacing w:before="0" w:after="40"/>
        <w:rPr/>
      </w:pPr>
      <w:r>
        <w:rPr>
          <w:rFonts w:eastAsia="Calibri" w:cs="Calibri"/>
          <w:b/>
          <w:bCs/>
          <w:color w:val="8A6D3B"/>
          <w:sz w:val="21"/>
          <w:szCs w:val="21"/>
        </w:rPr>
        <w:t xml:space="preserve">Part X.  </w:t>
      </w:r>
      <w:r>
        <w:rPr>
          <w:rFonts w:eastAsia="Calibri" w:cs="Calibri"/>
          <w:color w:val="1A1A1A"/>
          <w:sz w:val="21"/>
          <w:szCs w:val="21"/>
        </w:rPr>
        <w:t>Regulation: MiCA, AML, and the Privacy-Coin Question</w:t>
      </w:r>
      <w:r>
        <w:rPr>
          <w:rFonts w:eastAsia="Calibri" w:cs="Calibri"/>
          <w:color w:val="5B5B5B"/>
          <w:sz w:val="21"/>
          <w:szCs w:val="21"/>
        </w:rPr>
        <w:tab/>
        <w:t>35 pp.</w:t>
      </w:r>
    </w:p>
    <w:p>
      <w:pPr>
        <w:pStyle w:val="Normal"/>
        <w:tabs>
          <w:tab w:val="clear" w:pos="720"/>
          <w:tab w:val="right" w:pos="9026" w:leader="dot"/>
        </w:tabs>
        <w:spacing w:before="0" w:after="40"/>
        <w:rPr/>
      </w:pPr>
      <w:r>
        <w:rPr>
          <w:rFonts w:eastAsia="Calibri" w:cs="Calibri"/>
          <w:b/>
          <w:bCs/>
          <w:color w:val="8A6D3B"/>
          <w:sz w:val="21"/>
          <w:szCs w:val="21"/>
        </w:rPr>
        <w:t xml:space="preserve">Part XI.  </w:t>
      </w:r>
      <w:r>
        <w:rPr>
          <w:rFonts w:eastAsia="Calibri" w:cs="Calibri"/>
          <w:color w:val="1A1A1A"/>
          <w:sz w:val="21"/>
          <w:szCs w:val="21"/>
        </w:rPr>
        <w:t>Risks and Honest Counterarguments</w:t>
      </w:r>
      <w:r>
        <w:rPr>
          <w:rFonts w:eastAsia="Calibri" w:cs="Calibri"/>
          <w:color w:val="5B5B5B"/>
          <w:sz w:val="21"/>
          <w:szCs w:val="21"/>
        </w:rPr>
        <w:tab/>
        <w:t>32 pp.</w:t>
      </w:r>
    </w:p>
    <w:p>
      <w:pPr>
        <w:pStyle w:val="Normal"/>
        <w:tabs>
          <w:tab w:val="clear" w:pos="720"/>
          <w:tab w:val="right" w:pos="9026" w:leader="dot"/>
        </w:tabs>
        <w:spacing w:before="0" w:after="40"/>
        <w:rPr/>
      </w:pPr>
      <w:r>
        <w:rPr>
          <w:rFonts w:eastAsia="Calibri" w:cs="Calibri"/>
          <w:b/>
          <w:bCs/>
          <w:color w:val="8A6D3B"/>
          <w:sz w:val="21"/>
          <w:szCs w:val="21"/>
        </w:rPr>
        <w:t xml:space="preserve">Part XII.  </w:t>
      </w:r>
      <w:r>
        <w:rPr>
          <w:rFonts w:eastAsia="Calibri" w:cs="Calibri"/>
          <w:color w:val="1A1A1A"/>
          <w:sz w:val="21"/>
          <w:szCs w:val="21"/>
        </w:rPr>
        <w:t>The Road Ahead</w:t>
      </w:r>
      <w:r>
        <w:rPr>
          <w:rFonts w:eastAsia="Calibri" w:cs="Calibri"/>
          <w:color w:val="5B5B5B"/>
          <w:sz w:val="21"/>
          <w:szCs w:val="21"/>
        </w:rPr>
        <w:tab/>
        <w:t>20 pp.</w:t>
      </w:r>
    </w:p>
    <w:p>
      <w:pPr>
        <w:pStyle w:val="Heading2"/>
        <w:spacing w:before="320" w:after="140"/>
        <w:rPr/>
      </w:pPr>
      <w:r>
        <w:rPr>
          <w:rFonts w:eastAsia="Georgia" w:cs="Georgia" w:ascii="Georgia" w:hAnsi="Georgia"/>
          <w:b/>
          <w:bCs/>
          <w:color w:val="8A6D3B"/>
          <w:sz w:val="24"/>
          <w:szCs w:val="24"/>
        </w:rPr>
        <w:t>Reference Section</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Appendix A — Glossary of Terms</w:t>
      </w:r>
      <w:r>
        <w:rPr>
          <w:rFonts w:eastAsia="Calibri" w:cs="Calibri"/>
          <w:color w:val="5B5B5B"/>
          <w:sz w:val="21"/>
          <w:szCs w:val="21"/>
        </w:rPr>
        <w:tab/>
        <w:t>16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Appendix B — Data Appendix: Tables and Charts</w:t>
      </w:r>
      <w:r>
        <w:rPr>
          <w:rFonts w:eastAsia="Calibri" w:cs="Calibri"/>
          <w:color w:val="5B5B5B"/>
          <w:sz w:val="21"/>
          <w:szCs w:val="21"/>
        </w:rPr>
        <w:tab/>
        <w:t>10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Appendix C — Resources and Further Reading</w:t>
      </w:r>
      <w:r>
        <w:rPr>
          <w:rFonts w:eastAsia="Calibri" w:cs="Calibri"/>
          <w:color w:val="5B5B5B"/>
          <w:sz w:val="21"/>
          <w:szCs w:val="21"/>
        </w:rPr>
        <w:tab/>
        <w:t>3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Appendix D — About COSIC and imec</w:t>
      </w:r>
      <w:r>
        <w:rPr>
          <w:rFonts w:eastAsia="Calibri" w:cs="Calibri"/>
          <w:color w:val="5B5B5B"/>
          <w:sz w:val="21"/>
          <w:szCs w:val="21"/>
        </w:rPr>
        <w:tab/>
        <w:t>2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Appendix E — Frequently Asked Questions</w:t>
      </w:r>
      <w:r>
        <w:rPr>
          <w:rFonts w:eastAsia="Calibri" w:cs="Calibri"/>
          <w:color w:val="5B5B5B"/>
          <w:sz w:val="21"/>
          <w:szCs w:val="21"/>
        </w:rPr>
        <w:tab/>
        <w:t>5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Bibliography</w:t>
      </w:r>
      <w:r>
        <w:rPr>
          <w:rFonts w:eastAsia="Calibri" w:cs="Calibri"/>
          <w:color w:val="5B5B5B"/>
          <w:sz w:val="21"/>
          <w:szCs w:val="21"/>
        </w:rPr>
        <w:tab/>
        <w:t>3 pp.</w:t>
      </w:r>
    </w:p>
    <w:p>
      <w:pPr>
        <w:pStyle w:val="Normal"/>
        <w:tabs>
          <w:tab w:val="clear" w:pos="720"/>
          <w:tab w:val="right" w:pos="9026" w:leader="dot"/>
        </w:tabs>
        <w:spacing w:before="0" w:after="40"/>
        <w:rPr/>
      </w:pPr>
      <w:r>
        <w:rPr>
          <w:rFonts w:eastAsia="Calibri" w:cs="Calibri"/>
          <w:b/>
          <w:bCs/>
          <w:color w:val="8A6D3B"/>
          <w:sz w:val="21"/>
          <w:szCs w:val="21"/>
        </w:rPr>
        <w:t xml:space="preserve">.  </w:t>
      </w:r>
      <w:r>
        <w:rPr>
          <w:rFonts w:eastAsia="Calibri" w:cs="Calibri"/>
          <w:color w:val="1A1A1A"/>
          <w:sz w:val="21"/>
          <w:szCs w:val="21"/>
        </w:rPr>
        <w:t>Index</w:t>
      </w:r>
      <w:r>
        <w:rPr>
          <w:rFonts w:eastAsia="Calibri" w:cs="Calibri"/>
          <w:color w:val="5B5B5B"/>
          <w:sz w:val="21"/>
          <w:szCs w:val="21"/>
        </w:rPr>
        <w:tab/>
        <w:t>4 pp.</w:t>
      </w:r>
    </w:p>
    <w:p>
      <w:pPr>
        <w:pStyle w:val="Normal"/>
        <w:spacing w:before="300" w:after="0"/>
        <w:rPr/>
      </w:pPr>
      <w:r>
        <w:rPr>
          <w:rFonts w:eastAsia="Calibri" w:cs="Calibri"/>
          <w:b/>
          <w:bCs/>
          <w:color w:val="8A6D3B"/>
          <w:sz w:val="20"/>
          <w:szCs w:val="20"/>
        </w:rPr>
        <w:t>Estimated total length: approximately 530 pages (front matter + 12 parts + reference section).</w:t>
      </w:r>
      <w:r>
        <w:br w:type="page"/>
      </w:r>
    </w:p>
    <w:p>
      <w:pPr>
        <w:pStyle w:val="Heading1"/>
        <w:spacing w:before="480" w:after="200"/>
        <w:rPr/>
      </w:pPr>
      <w:r>
        <w:rPr>
          <w:rFonts w:eastAsia="Georgia" w:cs="Georgia" w:ascii="Georgia" w:hAnsi="Georgia"/>
          <w:b/>
          <w:bCs/>
          <w:color w:val="1A1A1A"/>
          <w:sz w:val="32"/>
          <w:szCs w:val="32"/>
        </w:rPr>
        <w:t>PART I</w:t>
      </w:r>
    </w:p>
    <w:p>
      <w:pPr>
        <w:pStyle w:val="Normal"/>
        <w:spacing w:before="0" w:after="100"/>
        <w:rPr/>
      </w:pPr>
      <w:r>
        <w:rPr>
          <w:rFonts w:eastAsia="Georgia" w:cs="Georgia" w:ascii="Georgia" w:hAnsi="Georgia"/>
          <w:b/>
          <w:bCs/>
          <w:color w:val="1A1A1A"/>
          <w:sz w:val="30"/>
          <w:szCs w:val="30"/>
        </w:rPr>
        <w:t>MONEY, PRIVACY, AND THE DIGITAL TURN</w:t>
      </w:r>
    </w:p>
    <w:p>
      <w:pPr>
        <w:pStyle w:val="Normal"/>
        <w:spacing w:before="0" w:after="220"/>
        <w:rPr/>
      </w:pPr>
      <w:r>
        <w:rPr>
          <w:rFonts w:eastAsia="Calibri" w:cs="Calibri"/>
          <w:b/>
          <w:bCs/>
          <w:color w:val="8A6D3B"/>
          <w:sz w:val="19"/>
          <w:szCs w:val="19"/>
        </w:rPr>
        <w:t>pp. 1–37</w:t>
      </w:r>
    </w:p>
    <w:p>
      <w:pPr>
        <w:pStyle w:val="Normal"/>
        <w:spacing w:lineRule="auto" w:line="300" w:before="0" w:after="160"/>
        <w:jc w:val="both"/>
        <w:rPr/>
      </w:pPr>
      <w:r>
        <w:rPr>
          <w:rFonts w:eastAsia="Calibri" w:cs="Calibri"/>
          <w:i w:val="false"/>
          <w:iCs w:val="false"/>
          <w:color w:val="1A1A1A"/>
          <w:sz w:val="21"/>
          <w:szCs w:val="21"/>
        </w:rPr>
        <w:t>The conceptual grounding the rest of the book builds on: financial privacy as history's default rather than a cryptographic novelty, how digital payments quietly reversed that default, why Bitcoin — routinely assumed to be anonymous — is nothing of the kind, and Belgium's own forgotten history with banking secrecy.</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1.  </w:t>
      </w:r>
      <w:r>
        <w:rPr>
          <w:rFonts w:eastAsia="Calibri" w:cs="Calibri"/>
          <w:color w:val="1A1A1A"/>
          <w:sz w:val="21"/>
          <w:szCs w:val="21"/>
        </w:rPr>
        <w:t>A Short History of Financial Privacy</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cash economies · banking-secrecy traditions across Europe · the check and the ledger · notaries and private accounting · the slow retreat of financial anonymity across the 20th century</w:t>
      </w:r>
    </w:p>
    <w:p>
      <w:pPr>
        <w:pStyle w:val="Normal"/>
        <w:tabs>
          <w:tab w:val="clear" w:pos="720"/>
          <w:tab w:val="right" w:pos="9026" w:leader="dot"/>
        </w:tabs>
        <w:spacing w:before="0" w:after="40"/>
        <w:rPr/>
      </w:pPr>
      <w:r>
        <w:rPr>
          <w:rFonts w:eastAsia="Calibri" w:cs="Calibri"/>
          <w:b/>
          <w:bCs/>
          <w:color w:val="8A6D3B"/>
          <w:sz w:val="21"/>
          <w:szCs w:val="21"/>
        </w:rPr>
        <w:t xml:space="preserve">2.  </w:t>
      </w:r>
      <w:r>
        <w:rPr>
          <w:rFonts w:eastAsia="Calibri" w:cs="Calibri"/>
          <w:color w:val="1A1A1A"/>
          <w:sz w:val="21"/>
          <w:szCs w:val="21"/>
        </w:rPr>
        <w:t>The Digitization of Money and the Death of the Cash Default</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card networks · SEPA · open banking under PSD2 · declining cash usage data for Belgium and the euro area · how each layer of convenience added a layer of visibility</w:t>
      </w:r>
    </w:p>
    <w:p>
      <w:pPr>
        <w:pStyle w:val="Normal"/>
        <w:tabs>
          <w:tab w:val="clear" w:pos="720"/>
          <w:tab w:val="right" w:pos="9026" w:leader="dot"/>
        </w:tabs>
        <w:spacing w:before="0" w:after="40"/>
        <w:rPr/>
      </w:pPr>
      <w:r>
        <w:rPr>
          <w:rFonts w:eastAsia="Calibri" w:cs="Calibri"/>
          <w:b/>
          <w:bCs/>
          <w:color w:val="8A6D3B"/>
          <w:sz w:val="21"/>
          <w:szCs w:val="21"/>
        </w:rPr>
        <w:t xml:space="preserve">3.  </w:t>
      </w:r>
      <w:r>
        <w:rPr>
          <w:rFonts w:eastAsia="Calibri" w:cs="Calibri"/>
          <w:color w:val="1A1A1A"/>
          <w:sz w:val="21"/>
          <w:szCs w:val="21"/>
        </w:rPr>
        <w:t>Pseudonymity vs. Anonymity: Why Bitcoin Isn't What Most People Think</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public ledgers · address clustering · chain-analysis firms · the moment one KYC deposit unlocks an entire transaction history · heuristics used by forensic analytics tools</w:t>
      </w:r>
    </w:p>
    <w:p>
      <w:pPr>
        <w:pStyle w:val="Normal"/>
        <w:tabs>
          <w:tab w:val="clear" w:pos="720"/>
          <w:tab w:val="right" w:pos="9026" w:leader="dot"/>
        </w:tabs>
        <w:spacing w:before="0" w:after="40"/>
        <w:rPr/>
      </w:pPr>
      <w:r>
        <w:rPr>
          <w:rFonts w:eastAsia="Calibri" w:cs="Calibri"/>
          <w:b/>
          <w:bCs/>
          <w:color w:val="8A6D3B"/>
          <w:sz w:val="21"/>
          <w:szCs w:val="21"/>
        </w:rPr>
        <w:t xml:space="preserve">4.  </w:t>
      </w:r>
      <w:r>
        <w:rPr>
          <w:rFonts w:eastAsia="Calibri" w:cs="Calibri"/>
          <w:color w:val="1A1A1A"/>
          <w:sz w:val="21"/>
          <w:szCs w:val="21"/>
        </w:rPr>
        <w:t>The Surveillance Economy Meets Personal Finance</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data brokers · transaction-level profiling · behavioural scoring · why 'nothing to hide' misunderstands what financial privacy actually protects</w:t>
      </w:r>
    </w:p>
    <w:p>
      <w:pPr>
        <w:pStyle w:val="Normal"/>
        <w:tabs>
          <w:tab w:val="clear" w:pos="720"/>
          <w:tab w:val="right" w:pos="9026" w:leader="dot"/>
        </w:tabs>
        <w:spacing w:before="0" w:after="40"/>
        <w:rPr/>
      </w:pPr>
      <w:r>
        <w:rPr>
          <w:rFonts w:eastAsia="Calibri" w:cs="Calibri"/>
          <w:b/>
          <w:bCs/>
          <w:color w:val="8A6D3B"/>
          <w:sz w:val="21"/>
          <w:szCs w:val="21"/>
        </w:rPr>
        <w:t xml:space="preserve">5.  </w:t>
      </w:r>
      <w:r>
        <w:rPr>
          <w:rFonts w:eastAsia="Calibri" w:cs="Calibri"/>
          <w:color w:val="1A1A1A"/>
          <w:sz w:val="21"/>
          <w:szCs w:val="21"/>
        </w:rPr>
        <w:t>Belgium's Own Banking-Secrecy History and the End of Numbered Accounts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Belgian bank-secrecy practice before automatic exchange of information · the EU Savings Directive · FATCA and CRS · what changed for Belgian account holders and why it matters for how this book frames privacy</w:t>
      </w:r>
      <w:r>
        <w:br w:type="page"/>
      </w:r>
    </w:p>
    <w:p>
      <w:pPr>
        <w:pStyle w:val="Heading1"/>
        <w:spacing w:before="480" w:after="200"/>
        <w:rPr/>
      </w:pPr>
      <w:r>
        <w:rPr>
          <w:rFonts w:eastAsia="Georgia" w:cs="Georgia" w:ascii="Georgia" w:hAnsi="Georgia"/>
          <w:b/>
          <w:bCs/>
          <w:color w:val="1A1A1A"/>
          <w:sz w:val="32"/>
          <w:szCs w:val="32"/>
        </w:rPr>
        <w:t>PART II</w:t>
      </w:r>
    </w:p>
    <w:p>
      <w:pPr>
        <w:pStyle w:val="Normal"/>
        <w:spacing w:before="0" w:after="100"/>
        <w:rPr/>
      </w:pPr>
      <w:r>
        <w:rPr>
          <w:rFonts w:eastAsia="Georgia" w:cs="Georgia" w:ascii="Georgia" w:hAnsi="Georgia"/>
          <w:b/>
          <w:bCs/>
          <w:color w:val="1A1A1A"/>
          <w:sz w:val="30"/>
          <w:szCs w:val="30"/>
        </w:rPr>
        <w:t>ZCASH EXPLAINED: CRYPTOGRAPHY AND PROTOCOL</w:t>
      </w:r>
    </w:p>
    <w:p>
      <w:pPr>
        <w:pStyle w:val="Normal"/>
        <w:spacing w:before="0" w:after="220"/>
        <w:rPr/>
      </w:pPr>
      <w:r>
        <w:rPr>
          <w:rFonts w:eastAsia="Calibri" w:cs="Calibri"/>
          <w:b/>
          <w:bCs/>
          <w:color w:val="8A6D3B"/>
          <w:sz w:val="19"/>
          <w:szCs w:val="19"/>
        </w:rPr>
        <w:t>pp. 38–105</w:t>
      </w:r>
    </w:p>
    <w:p>
      <w:pPr>
        <w:pStyle w:val="Normal"/>
        <w:spacing w:lineRule="auto" w:line="300" w:before="0" w:after="160"/>
        <w:jc w:val="both"/>
        <w:rPr/>
      </w:pPr>
      <w:r>
        <w:rPr>
          <w:rFonts w:eastAsia="Calibri" w:cs="Calibri"/>
          <w:i w:val="false"/>
          <w:iCs w:val="false"/>
          <w:color w:val="1A1A1A"/>
          <w:sz w:val="21"/>
          <w:szCs w:val="21"/>
        </w:rPr>
        <w:t>Professor Preneel's core technical curriculum, written to be followed without a cryptography background, with optional deeper-dive panels for readers who want the mathematics. Covers Zcash from first principles through its most recent network upgrade, including a full, unvarnished account of the 2026 security incident and how it was resolved.</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6.  </w:t>
      </w:r>
      <w:r>
        <w:rPr>
          <w:rFonts w:eastAsia="Calibri" w:cs="Calibri"/>
          <w:color w:val="1A1A1A"/>
          <w:sz w:val="21"/>
          <w:szCs w:val="21"/>
        </w:rPr>
        <w:t>Origins: Cypherpunks, Zerocoin, Zerocash, and the Birth of Zcash</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cypherpunk mailing list · David Chaum's digital-cash lineage · the Zerocoin and Zerocash academic papers · the October 2016 mainnet launch · Electric Coin Company and Zcash Foundation split · the founder's reward</w:t>
      </w:r>
    </w:p>
    <w:p>
      <w:pPr>
        <w:pStyle w:val="Normal"/>
        <w:tabs>
          <w:tab w:val="clear" w:pos="720"/>
          <w:tab w:val="right" w:pos="9026" w:leader="dot"/>
        </w:tabs>
        <w:spacing w:before="0" w:after="40"/>
        <w:rPr/>
      </w:pPr>
      <w:r>
        <w:rPr>
          <w:rFonts w:eastAsia="Calibri" w:cs="Calibri"/>
          <w:b/>
          <w:bCs/>
          <w:color w:val="8A6D3B"/>
          <w:sz w:val="21"/>
          <w:szCs w:val="21"/>
        </w:rPr>
        <w:t xml:space="preserve">7.  </w:t>
      </w:r>
      <w:r>
        <w:rPr>
          <w:rFonts w:eastAsia="Calibri" w:cs="Calibri"/>
          <w:color w:val="1A1A1A"/>
          <w:sz w:val="21"/>
          <w:szCs w:val="21"/>
        </w:rPr>
        <w:t>Zero-Knowledge Proofs in Plain Language</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'prove you know without revealing what you know' intuition · completeness, soundness, and zero-knowledge as formal properties · interactive vs non-interactive proofs · everyday analogies</w:t>
      </w:r>
    </w:p>
    <w:p>
      <w:pPr>
        <w:pStyle w:val="Normal"/>
        <w:tabs>
          <w:tab w:val="clear" w:pos="720"/>
          <w:tab w:val="right" w:pos="9026" w:leader="dot"/>
        </w:tabs>
        <w:spacing w:before="0" w:after="40"/>
        <w:rPr/>
      </w:pPr>
      <w:r>
        <w:rPr>
          <w:rFonts w:eastAsia="Calibri" w:cs="Calibri"/>
          <w:b/>
          <w:bCs/>
          <w:color w:val="8A6D3B"/>
          <w:sz w:val="21"/>
          <w:szCs w:val="21"/>
        </w:rPr>
        <w:t xml:space="preserve">8.  </w:t>
      </w:r>
      <w:r>
        <w:rPr>
          <w:rFonts w:eastAsia="Calibri" w:cs="Calibri"/>
          <w:color w:val="1A1A1A"/>
          <w:sz w:val="21"/>
          <w:szCs w:val="21"/>
        </w:rPr>
        <w:t>zk-SNARKs and the Evolution to Halo 2</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succinctness and non-interactivity · the original trusted-setup ceremony · Halo 2's elimination of a trusted setup · a technical panel on recursive proof composition</w:t>
      </w:r>
    </w:p>
    <w:p>
      <w:pPr>
        <w:pStyle w:val="Normal"/>
        <w:tabs>
          <w:tab w:val="clear" w:pos="720"/>
          <w:tab w:val="right" w:pos="9026" w:leader="dot"/>
        </w:tabs>
        <w:spacing w:before="0" w:after="40"/>
        <w:rPr/>
      </w:pPr>
      <w:r>
        <w:rPr>
          <w:rFonts w:eastAsia="Calibri" w:cs="Calibri"/>
          <w:b/>
          <w:bCs/>
          <w:color w:val="8A6D3B"/>
          <w:sz w:val="21"/>
          <w:szCs w:val="21"/>
        </w:rPr>
        <w:t xml:space="preserve">9.  </w:t>
      </w:r>
      <w:r>
        <w:rPr>
          <w:rFonts w:eastAsia="Calibri" w:cs="Calibri"/>
          <w:color w:val="1A1A1A"/>
          <w:sz w:val="21"/>
          <w:szCs w:val="21"/>
        </w:rPr>
        <w:t>Comparing Proof Systems: Groth16, PLONK, Halo 2, and zk-STARKs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proof size and verification time trade-offs · universal vs circuit-specific setups · transparency vs succinctness · why Zcash chose the path it did relative to Ethereum-ecosystem proof systems</w:t>
      </w:r>
    </w:p>
    <w:p>
      <w:pPr>
        <w:pStyle w:val="Normal"/>
        <w:tabs>
          <w:tab w:val="clear" w:pos="720"/>
          <w:tab w:val="right" w:pos="9026" w:leader="dot"/>
        </w:tabs>
        <w:spacing w:before="0" w:after="40"/>
        <w:rPr/>
      </w:pPr>
      <w:r>
        <w:rPr>
          <w:rFonts w:eastAsia="Calibri" w:cs="Calibri"/>
          <w:b/>
          <w:bCs/>
          <w:color w:val="8A6D3B"/>
          <w:sz w:val="21"/>
          <w:szCs w:val="21"/>
        </w:rPr>
        <w:t xml:space="preserve">10.  </w:t>
      </w:r>
      <w:r>
        <w:rPr>
          <w:rFonts w:eastAsia="Calibri" w:cs="Calibri"/>
          <w:color w:val="1A1A1A"/>
          <w:sz w:val="21"/>
          <w:szCs w:val="21"/>
        </w:rPr>
        <w:t>Transparent vs Shielded: t-addresses, z-addresses, Sapling, Orchard, Unified Addresses</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address types compared directly · the 2018 Sapling efficiency upgrade · Orchard's Pallas/Vesta curve pair · Unified Addresses in practice</w:t>
      </w:r>
    </w:p>
    <w:p>
      <w:pPr>
        <w:pStyle w:val="Normal"/>
        <w:tabs>
          <w:tab w:val="clear" w:pos="720"/>
          <w:tab w:val="right" w:pos="9026" w:leader="dot"/>
        </w:tabs>
        <w:spacing w:before="0" w:after="40"/>
        <w:rPr/>
      </w:pPr>
      <w:r>
        <w:rPr>
          <w:rFonts w:eastAsia="Calibri" w:cs="Calibri"/>
          <w:b/>
          <w:bCs/>
          <w:color w:val="8A6D3B"/>
          <w:sz w:val="21"/>
          <w:szCs w:val="21"/>
        </w:rPr>
        <w:t xml:space="preserve">11.  </w:t>
      </w:r>
      <w:r>
        <w:rPr>
          <w:rFonts w:eastAsia="Calibri" w:cs="Calibri"/>
          <w:color w:val="1A1A1A"/>
          <w:sz w:val="21"/>
          <w:szCs w:val="21"/>
        </w:rPr>
        <w:t>Viewing Keys, Payment Disclosure, and Selective Transparency</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full and incoming viewing keys · a worked disclosure example for an auditor or tax authority · what a viewing key does and does not reveal</w:t>
      </w:r>
    </w:p>
    <w:p>
      <w:pPr>
        <w:pStyle w:val="Normal"/>
        <w:tabs>
          <w:tab w:val="clear" w:pos="720"/>
          <w:tab w:val="right" w:pos="9026" w:leader="dot"/>
        </w:tabs>
        <w:spacing w:before="0" w:after="40"/>
        <w:rPr/>
      </w:pPr>
      <w:r>
        <w:rPr>
          <w:rFonts w:eastAsia="Calibri" w:cs="Calibri"/>
          <w:b/>
          <w:bCs/>
          <w:color w:val="8A6D3B"/>
          <w:sz w:val="21"/>
          <w:szCs w:val="21"/>
        </w:rPr>
        <w:t xml:space="preserve">12.  </w:t>
      </w:r>
      <w:r>
        <w:rPr>
          <w:rFonts w:eastAsia="Calibri" w:cs="Calibri"/>
          <w:color w:val="1A1A1A"/>
          <w:sz w:val="21"/>
          <w:szCs w:val="21"/>
        </w:rPr>
        <w:t>Consensus and Network Security: Equihash and Beyond</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Equihash proof-of-work · block issuance · mining decentralisation debates · the protocol-level discussion of longer-term consensus design</w:t>
      </w:r>
    </w:p>
    <w:p>
      <w:pPr>
        <w:pStyle w:val="Normal"/>
        <w:tabs>
          <w:tab w:val="clear" w:pos="720"/>
          <w:tab w:val="right" w:pos="9026" w:leader="dot"/>
        </w:tabs>
        <w:spacing w:before="0" w:after="40"/>
        <w:rPr/>
      </w:pPr>
      <w:r>
        <w:rPr>
          <w:rFonts w:eastAsia="Calibri" w:cs="Calibri"/>
          <w:b/>
          <w:bCs/>
          <w:color w:val="8A6D3B"/>
          <w:sz w:val="21"/>
          <w:szCs w:val="21"/>
        </w:rPr>
        <w:t xml:space="preserve">13.  </w:t>
      </w:r>
      <w:r>
        <w:rPr>
          <w:rFonts w:eastAsia="Calibri" w:cs="Calibri"/>
          <w:color w:val="1A1A1A"/>
          <w:sz w:val="21"/>
          <w:szCs w:val="21"/>
        </w:rPr>
        <w:t>Security Track Record: Audits and the 2026 Orchard Vulnerability</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chronological account of the disclosure · the emergency shutdown of the affected pool · independent confirmation that no counterfeit coins were spent · the dual-implementation rebuild</w:t>
      </w:r>
    </w:p>
    <w:p>
      <w:pPr>
        <w:pStyle w:val="Normal"/>
        <w:tabs>
          <w:tab w:val="clear" w:pos="720"/>
          <w:tab w:val="right" w:pos="9026" w:leader="dot"/>
        </w:tabs>
        <w:spacing w:before="0" w:after="40"/>
        <w:rPr/>
      </w:pPr>
      <w:r>
        <w:rPr>
          <w:rFonts w:eastAsia="Calibri" w:cs="Calibri"/>
          <w:b/>
          <w:bCs/>
          <w:color w:val="8A6D3B"/>
          <w:sz w:val="21"/>
          <w:szCs w:val="21"/>
        </w:rPr>
        <w:t xml:space="preserve">14.  </w:t>
      </w:r>
      <w:r>
        <w:rPr>
          <w:rFonts w:eastAsia="Calibri" w:cs="Calibri"/>
          <w:color w:val="1A1A1A"/>
          <w:sz w:val="21"/>
          <w:szCs w:val="21"/>
        </w:rPr>
        <w:t>Formal Verification and Independent Implementation: How Ironwood Was Rebuilt</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formal verification methods applied to the new shielded pool · two independently written implementations cross-checking each other · the turnstile supply-cap mechanism · audit sign-off process</w:t>
      </w:r>
    </w:p>
    <w:p>
      <w:pPr>
        <w:pStyle w:val="Normal"/>
        <w:tabs>
          <w:tab w:val="clear" w:pos="720"/>
          <w:tab w:val="right" w:pos="9026" w:leader="dot"/>
        </w:tabs>
        <w:spacing w:before="0" w:after="40"/>
        <w:rPr/>
      </w:pPr>
      <w:r>
        <w:rPr>
          <w:rFonts w:eastAsia="Calibri" w:cs="Calibri"/>
          <w:b/>
          <w:bCs/>
          <w:color w:val="8A6D3B"/>
          <w:sz w:val="21"/>
          <w:szCs w:val="21"/>
        </w:rPr>
        <w:t xml:space="preserve">15.  </w:t>
      </w:r>
      <w:r>
        <w:rPr>
          <w:rFonts w:eastAsia="Calibri" w:cs="Calibri"/>
          <w:color w:val="1A1A1A"/>
          <w:sz w:val="21"/>
          <w:szCs w:val="21"/>
        </w:rPr>
        <w:t>Network Upgrade Timeline: Sprout to Sapling to Orchard to Ironwood</w:t>
      </w:r>
      <w:r>
        <w:rPr>
          <w:rFonts w:eastAsia="Calibri" w:cs="Calibri"/>
          <w:color w:val="5B5B5B"/>
          <w:sz w:val="21"/>
          <w:szCs w:val="21"/>
        </w:rPr>
        <w:tab/>
        <w:t>5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single reference chapter covering every major protocol upgrade and its purpose · ending with Project Tachyon's throughput goals</w:t>
      </w:r>
      <w:r>
        <w:br w:type="page"/>
      </w:r>
    </w:p>
    <w:p>
      <w:pPr>
        <w:pStyle w:val="Heading1"/>
        <w:spacing w:before="480" w:after="200"/>
        <w:rPr/>
      </w:pPr>
      <w:r>
        <w:rPr>
          <w:rFonts w:eastAsia="Georgia" w:cs="Georgia" w:ascii="Georgia" w:hAnsi="Georgia"/>
          <w:b/>
          <w:bCs/>
          <w:color w:val="1A1A1A"/>
          <w:sz w:val="32"/>
          <w:szCs w:val="32"/>
        </w:rPr>
        <w:t>PART III</w:t>
      </w:r>
    </w:p>
    <w:p>
      <w:pPr>
        <w:pStyle w:val="Normal"/>
        <w:spacing w:before="0" w:after="100"/>
        <w:rPr/>
      </w:pPr>
      <w:r>
        <w:rPr>
          <w:rFonts w:eastAsia="Georgia" w:cs="Georgia" w:ascii="Georgia" w:hAnsi="Georgia"/>
          <w:b/>
          <w:bCs/>
          <w:color w:val="1A1A1A"/>
          <w:sz w:val="30"/>
          <w:szCs w:val="30"/>
        </w:rPr>
        <w:t>BEYOND ZCASH: CONSENSUS, SECURITY, AND THE BROADER CRYPTOCURRENCY LANDSCAPE</w:t>
      </w:r>
    </w:p>
    <w:p>
      <w:pPr>
        <w:pStyle w:val="Normal"/>
        <w:spacing w:before="0" w:after="220"/>
        <w:rPr/>
      </w:pPr>
      <w:r>
        <w:rPr>
          <w:rFonts w:eastAsia="Calibri" w:cs="Calibri"/>
          <w:b/>
          <w:bCs/>
          <w:color w:val="8A6D3B"/>
          <w:sz w:val="19"/>
          <w:szCs w:val="19"/>
        </w:rPr>
        <w:t>pp. 106–150</w:t>
      </w:r>
    </w:p>
    <w:p>
      <w:pPr>
        <w:pStyle w:val="Normal"/>
        <w:spacing w:lineRule="auto" w:line="300" w:before="0" w:after="160"/>
        <w:jc w:val="both"/>
        <w:rPr/>
      </w:pPr>
      <w:r>
        <w:rPr>
          <w:rFonts w:eastAsia="Calibri" w:cs="Calibri"/>
          <w:i w:val="false"/>
          <w:iCs w:val="false"/>
          <w:color w:val="1A1A1A"/>
          <w:sz w:val="21"/>
          <w:szCs w:val="21"/>
        </w:rPr>
        <w:t>The part that makes this handbook a genuine reference rather than a single-protocol pitch. Zooms out to the wider industry: how blockchains are attacked and defended in general, how other privacy-preserving systems solve the same problem with different trade-offs, what actually goes wrong in smart-contract and custody failures, and what quantum computing realistically threatens across the whole space.</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16.  </w:t>
      </w:r>
      <w:r>
        <w:rPr>
          <w:rFonts w:eastAsia="Calibri" w:cs="Calibri"/>
          <w:color w:val="1A1A1A"/>
          <w:sz w:val="21"/>
          <w:szCs w:val="21"/>
        </w:rPr>
        <w:t>Blockchain Security Fundamentals: Hashing, Merkle Trees, and Attack Surfaces</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cryptographic hash functions · Merkle trees and block structure · 51% attacks · double-spending · Sybil attacks · eclipse attacks · how these apply differently to proof-of-work and proof-of-stake systems</w:t>
      </w:r>
    </w:p>
    <w:p>
      <w:pPr>
        <w:pStyle w:val="Normal"/>
        <w:tabs>
          <w:tab w:val="clear" w:pos="720"/>
          <w:tab w:val="right" w:pos="9026" w:leader="dot"/>
        </w:tabs>
        <w:spacing w:before="0" w:after="40"/>
        <w:rPr/>
      </w:pPr>
      <w:r>
        <w:rPr>
          <w:rFonts w:eastAsia="Calibri" w:cs="Calibri"/>
          <w:b/>
          <w:bCs/>
          <w:color w:val="8A6D3B"/>
          <w:sz w:val="21"/>
          <w:szCs w:val="21"/>
        </w:rPr>
        <w:t xml:space="preserve">17.  </w:t>
      </w:r>
      <w:r>
        <w:rPr>
          <w:rFonts w:eastAsia="Calibri" w:cs="Calibri"/>
          <w:color w:val="1A1A1A"/>
          <w:sz w:val="21"/>
          <w:szCs w:val="21"/>
        </w:rPr>
        <w:t>Consensus Mechanisms Compared: Proof of Work, Proof of Stake, and Beyond</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Nakamoto consensus · proof-of-stake variants · Byzantine fault-tolerant / BFT-style consensus · finality guarantees · energy and centralisation trade-offs across major networks</w:t>
      </w:r>
    </w:p>
    <w:p>
      <w:pPr>
        <w:pStyle w:val="Normal"/>
        <w:tabs>
          <w:tab w:val="clear" w:pos="720"/>
          <w:tab w:val="right" w:pos="9026" w:leader="dot"/>
        </w:tabs>
        <w:spacing w:before="0" w:after="40"/>
        <w:rPr/>
      </w:pPr>
      <w:r>
        <w:rPr>
          <w:rFonts w:eastAsia="Calibri" w:cs="Calibri"/>
          <w:b/>
          <w:bCs/>
          <w:color w:val="8A6D3B"/>
          <w:sz w:val="21"/>
          <w:szCs w:val="21"/>
        </w:rPr>
        <w:t xml:space="preserve">18.  </w:t>
      </w:r>
      <w:r>
        <w:rPr>
          <w:rFonts w:eastAsia="Calibri" w:cs="Calibri"/>
          <w:color w:val="1A1A1A"/>
          <w:sz w:val="21"/>
          <w:szCs w:val="21"/>
        </w:rPr>
        <w:t>A Map of Privacy Technology: Ring Signatures, CoinJoin, Mimblewimble, and Confidential Transactions</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Monero's ring signatures and stealth addresses · CoinJoin-based mixing (Wasabi, Samourai) · Mimblewimble and Grin · Confidential Transactions · a comparative table of anonymity-set strength and trade-offs against Zcash's model</w:t>
      </w:r>
    </w:p>
    <w:p>
      <w:pPr>
        <w:pStyle w:val="Normal"/>
        <w:tabs>
          <w:tab w:val="clear" w:pos="720"/>
          <w:tab w:val="right" w:pos="9026" w:leader="dot"/>
        </w:tabs>
        <w:spacing w:before="0" w:after="40"/>
        <w:rPr/>
      </w:pPr>
      <w:r>
        <w:rPr>
          <w:rFonts w:eastAsia="Calibri" w:cs="Calibri"/>
          <w:b/>
          <w:bCs/>
          <w:color w:val="8A6D3B"/>
          <w:sz w:val="21"/>
          <w:szCs w:val="21"/>
        </w:rPr>
        <w:t xml:space="preserve">19.  </w:t>
      </w:r>
      <w:r>
        <w:rPr>
          <w:rFonts w:eastAsia="Calibri" w:cs="Calibri"/>
          <w:color w:val="1A1A1A"/>
          <w:sz w:val="21"/>
          <w:szCs w:val="21"/>
        </w:rPr>
        <w:t>Smart Contract and DeFi Security: Lessons From a Decade of Exploits</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reentrancy · oracle manipulation · flash-loan attacks · bridge exploits · audit practices and their limits · why Zcash's narrower design surface changes this risk picture, taught at the pattern level rather than as exploit instruction</w:t>
      </w:r>
    </w:p>
    <w:p>
      <w:pPr>
        <w:pStyle w:val="Normal"/>
        <w:tabs>
          <w:tab w:val="clear" w:pos="720"/>
          <w:tab w:val="right" w:pos="9026" w:leader="dot"/>
        </w:tabs>
        <w:spacing w:before="0" w:after="40"/>
        <w:rPr/>
      </w:pPr>
      <w:r>
        <w:rPr>
          <w:rFonts w:eastAsia="Calibri" w:cs="Calibri"/>
          <w:b/>
          <w:bCs/>
          <w:color w:val="8A6D3B"/>
          <w:sz w:val="21"/>
          <w:szCs w:val="21"/>
        </w:rPr>
        <w:t xml:space="preserve">20.  </w:t>
      </w:r>
      <w:r>
        <w:rPr>
          <w:rFonts w:eastAsia="Calibri" w:cs="Calibri"/>
          <w:color w:val="1A1A1A"/>
          <w:sz w:val="21"/>
          <w:szCs w:val="21"/>
        </w:rPr>
        <w:t>Custody and Key-Management Security Across the Industry</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hardware wallets · multisignature schemes · MPC (multi-party computation) custody · notable historical exchange failures and what changed afterward · cold storage practice</w:t>
      </w:r>
    </w:p>
    <w:p>
      <w:pPr>
        <w:pStyle w:val="Normal"/>
        <w:tabs>
          <w:tab w:val="clear" w:pos="720"/>
          <w:tab w:val="right" w:pos="9026" w:leader="dot"/>
        </w:tabs>
        <w:spacing w:before="0" w:after="40"/>
        <w:rPr/>
      </w:pPr>
      <w:r>
        <w:rPr>
          <w:rFonts w:eastAsia="Calibri" w:cs="Calibri"/>
          <w:b/>
          <w:bCs/>
          <w:color w:val="8A6D3B"/>
          <w:sz w:val="21"/>
          <w:szCs w:val="21"/>
        </w:rPr>
        <w:t xml:space="preserve">21.  </w:t>
      </w:r>
      <w:r>
        <w:rPr>
          <w:rFonts w:eastAsia="Calibri" w:cs="Calibri"/>
          <w:color w:val="1A1A1A"/>
          <w:sz w:val="21"/>
          <w:szCs w:val="21"/>
        </w:rPr>
        <w:t>The Quantum Computing Question: What It Means for Bitcoin, Zcash, and the Industry</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Shor's and Grover's algorithms in plain terms · which cryptographic primitives are actually at risk · post-quantum cryptography and hash-based signatures · realistic timelines versus hype</w:t>
      </w:r>
      <w:r>
        <w:br w:type="page"/>
      </w:r>
    </w:p>
    <w:p>
      <w:pPr>
        <w:pStyle w:val="Heading1"/>
        <w:spacing w:before="480" w:after="200"/>
        <w:rPr/>
      </w:pPr>
      <w:r>
        <w:rPr>
          <w:rFonts w:eastAsia="Georgia" w:cs="Georgia" w:ascii="Georgia" w:hAnsi="Georgia"/>
          <w:b/>
          <w:bCs/>
          <w:color w:val="1A1A1A"/>
          <w:sz w:val="32"/>
          <w:szCs w:val="32"/>
        </w:rPr>
        <w:t>PART IV</w:t>
      </w:r>
    </w:p>
    <w:p>
      <w:pPr>
        <w:pStyle w:val="Normal"/>
        <w:spacing w:before="0" w:after="100"/>
        <w:rPr/>
      </w:pPr>
      <w:r>
        <w:rPr>
          <w:rFonts w:eastAsia="Georgia" w:cs="Georgia" w:ascii="Georgia" w:hAnsi="Georgia"/>
          <w:b/>
          <w:bCs/>
          <w:color w:val="1A1A1A"/>
          <w:sz w:val="30"/>
          <w:szCs w:val="30"/>
        </w:rPr>
        <w:t>HANDS-ON ZCASH: WALLETS, NODES, AND YOUR FIRST SHIELDED TRANSACTION</w:t>
      </w:r>
    </w:p>
    <w:p>
      <w:pPr>
        <w:pStyle w:val="Normal"/>
        <w:spacing w:before="0" w:after="220"/>
        <w:rPr/>
      </w:pPr>
      <w:r>
        <w:rPr>
          <w:rFonts w:eastAsia="Calibri" w:cs="Calibri"/>
          <w:b/>
          <w:bCs/>
          <w:color w:val="8A6D3B"/>
          <w:sz w:val="19"/>
          <w:szCs w:val="19"/>
        </w:rPr>
        <w:t>pp. 151–191</w:t>
      </w:r>
    </w:p>
    <w:p>
      <w:pPr>
        <w:pStyle w:val="Normal"/>
        <w:spacing w:lineRule="auto" w:line="300" w:before="0" w:after="160"/>
        <w:jc w:val="both"/>
        <w:rPr/>
      </w:pPr>
      <w:r>
        <w:rPr>
          <w:rFonts w:eastAsia="Calibri" w:cs="Calibri"/>
          <w:i w:val="false"/>
          <w:iCs w:val="false"/>
          <w:color w:val="1A1A1A"/>
          <w:sz w:val="21"/>
          <w:szCs w:val="21"/>
        </w:rPr>
        <w:t>The handbook's practical training core. Where Parts II and III teach how Zcash and the wider industry work, Part IV teaches how to use Zcash directly — a guided course with step-by-step exercises and troubleshooting notes for common first-time errors.</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22.  </w:t>
      </w:r>
      <w:r>
        <w:rPr>
          <w:rFonts w:eastAsia="Calibri" w:cs="Calibri"/>
          <w:color w:val="1A1A1A"/>
          <w:sz w:val="21"/>
          <w:szCs w:val="21"/>
        </w:rPr>
        <w:t>Choosing a Wallet: Zashi, Ywallet, and Hardware Support</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comparing mobile, desktop, and hardware-wallet (Ledger) options · shielded vs transparent balance handling · convenience-vs-control trade-offs</w:t>
      </w:r>
    </w:p>
    <w:p>
      <w:pPr>
        <w:pStyle w:val="Normal"/>
        <w:tabs>
          <w:tab w:val="clear" w:pos="720"/>
          <w:tab w:val="right" w:pos="9026" w:leader="dot"/>
        </w:tabs>
        <w:spacing w:before="0" w:after="40"/>
        <w:rPr/>
      </w:pPr>
      <w:r>
        <w:rPr>
          <w:rFonts w:eastAsia="Calibri" w:cs="Calibri"/>
          <w:b/>
          <w:bCs/>
          <w:color w:val="8A6D3B"/>
          <w:sz w:val="21"/>
          <w:szCs w:val="21"/>
        </w:rPr>
        <w:t xml:space="preserve">23.  </w:t>
      </w:r>
      <w:r>
        <w:rPr>
          <w:rFonts w:eastAsia="Calibri" w:cs="Calibri"/>
          <w:color w:val="1A1A1A"/>
          <w:sz w:val="21"/>
          <w:szCs w:val="21"/>
        </w:rPr>
        <w:t>Running Network Software: From zcashd to Zebra</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retirement of the original zcashd client · the Rust-based Zebra full node · what running your own node buys a user or business · resource requirements</w:t>
      </w:r>
    </w:p>
    <w:p>
      <w:pPr>
        <w:pStyle w:val="Normal"/>
        <w:tabs>
          <w:tab w:val="clear" w:pos="720"/>
          <w:tab w:val="right" w:pos="9026" w:leader="dot"/>
        </w:tabs>
        <w:spacing w:before="0" w:after="40"/>
        <w:rPr/>
      </w:pPr>
      <w:r>
        <w:rPr>
          <w:rFonts w:eastAsia="Calibri" w:cs="Calibri"/>
          <w:b/>
          <w:bCs/>
          <w:color w:val="8A6D3B"/>
          <w:sz w:val="21"/>
          <w:szCs w:val="21"/>
        </w:rPr>
        <w:t xml:space="preserve">24.  </w:t>
      </w:r>
      <w:r>
        <w:rPr>
          <w:rFonts w:eastAsia="Calibri" w:cs="Calibri"/>
          <w:color w:val="1A1A1A"/>
          <w:sz w:val="21"/>
          <w:szCs w:val="21"/>
        </w:rPr>
        <w:t>Sending Your First Shielded Transaction: A Step-by-Step Walkthrough</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installing a wallet · funding it · composing and confirming a shielded send · common first-time errors explained</w:t>
      </w:r>
    </w:p>
    <w:p>
      <w:pPr>
        <w:pStyle w:val="Normal"/>
        <w:tabs>
          <w:tab w:val="clear" w:pos="720"/>
          <w:tab w:val="right" w:pos="9026" w:leader="dot"/>
        </w:tabs>
        <w:spacing w:before="0" w:after="40"/>
        <w:rPr/>
      </w:pPr>
      <w:r>
        <w:rPr>
          <w:rFonts w:eastAsia="Calibri" w:cs="Calibri"/>
          <w:b/>
          <w:bCs/>
          <w:color w:val="8A6D3B"/>
          <w:sz w:val="21"/>
          <w:szCs w:val="21"/>
        </w:rPr>
        <w:t xml:space="preserve">25.  </w:t>
      </w:r>
      <w:r>
        <w:rPr>
          <w:rFonts w:eastAsia="Calibri" w:cs="Calibri"/>
          <w:color w:val="1A1A1A"/>
          <w:sz w:val="21"/>
          <w:szCs w:val="21"/>
        </w:rPr>
        <w:t>Reading the Chain: Block Explorers and Proof Verification in Practice</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what a block explorer can and cannot show for a shielded transaction · how proof verification actually happens network-side · comparing explorers</w:t>
      </w:r>
    </w:p>
    <w:p>
      <w:pPr>
        <w:pStyle w:val="Normal"/>
        <w:tabs>
          <w:tab w:val="clear" w:pos="720"/>
          <w:tab w:val="right" w:pos="9026" w:leader="dot"/>
        </w:tabs>
        <w:spacing w:before="0" w:after="40"/>
        <w:rPr/>
      </w:pPr>
      <w:r>
        <w:rPr>
          <w:rFonts w:eastAsia="Calibri" w:cs="Calibri"/>
          <w:b/>
          <w:bCs/>
          <w:color w:val="8A6D3B"/>
          <w:sz w:val="21"/>
          <w:szCs w:val="21"/>
        </w:rPr>
        <w:t xml:space="preserve">26.  </w:t>
      </w:r>
      <w:r>
        <w:rPr>
          <w:rFonts w:eastAsia="Calibri" w:cs="Calibri"/>
          <w:color w:val="1A1A1A"/>
          <w:sz w:val="21"/>
          <w:szCs w:val="21"/>
        </w:rPr>
        <w:t>Backing Up, Recovering, and Securing a Shielded Wallet</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seed phrases · viewing-key backups · recovery drills · device loss scenarios</w:t>
      </w:r>
    </w:p>
    <w:p>
      <w:pPr>
        <w:pStyle w:val="Normal"/>
        <w:tabs>
          <w:tab w:val="clear" w:pos="720"/>
          <w:tab w:val="right" w:pos="9026" w:leader="dot"/>
        </w:tabs>
        <w:spacing w:before="0" w:after="40"/>
        <w:rPr/>
      </w:pPr>
      <w:r>
        <w:rPr>
          <w:rFonts w:eastAsia="Calibri" w:cs="Calibri"/>
          <w:b/>
          <w:bCs/>
          <w:color w:val="8A6D3B"/>
          <w:sz w:val="21"/>
          <w:szCs w:val="21"/>
        </w:rPr>
        <w:t xml:space="preserve">27.  </w:t>
      </w:r>
      <w:r>
        <w:rPr>
          <w:rFonts w:eastAsia="Calibri" w:cs="Calibri"/>
          <w:color w:val="1A1A1A"/>
          <w:sz w:val="21"/>
          <w:szCs w:val="21"/>
        </w:rPr>
        <w:t>Personal Operational Security: A Practical Checklist</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phishing and fake-wallet risks · device hygiene · avoiding address reuse where relevant · a one-page checklist summarising Parts III and IV for a general reader</w:t>
      </w:r>
      <w:r>
        <w:br w:type="page"/>
      </w:r>
    </w:p>
    <w:p>
      <w:pPr>
        <w:pStyle w:val="Heading1"/>
        <w:spacing w:before="480" w:after="200"/>
        <w:rPr/>
      </w:pPr>
      <w:r>
        <w:rPr>
          <w:rFonts w:eastAsia="Georgia" w:cs="Georgia" w:ascii="Georgia" w:hAnsi="Georgia"/>
          <w:b/>
          <w:bCs/>
          <w:color w:val="1A1A1A"/>
          <w:sz w:val="32"/>
          <w:szCs w:val="32"/>
        </w:rPr>
        <w:t>PART V</w:t>
      </w:r>
    </w:p>
    <w:p>
      <w:pPr>
        <w:pStyle w:val="Normal"/>
        <w:spacing w:before="0" w:after="100"/>
        <w:rPr/>
      </w:pPr>
      <w:r>
        <w:rPr>
          <w:rFonts w:eastAsia="Georgia" w:cs="Georgia" w:ascii="Georgia" w:hAnsi="Georgia"/>
          <w:b/>
          <w:bCs/>
          <w:color w:val="1A1A1A"/>
          <w:sz w:val="30"/>
          <w:szCs w:val="30"/>
        </w:rPr>
        <w:t>ZCASH AS AN ASSET</w:t>
      </w:r>
    </w:p>
    <w:p>
      <w:pPr>
        <w:pStyle w:val="Normal"/>
        <w:spacing w:before="0" w:after="220"/>
        <w:rPr/>
      </w:pPr>
      <w:r>
        <w:rPr>
          <w:rFonts w:eastAsia="Calibri" w:cs="Calibri"/>
          <w:b/>
          <w:bCs/>
          <w:color w:val="8A6D3B"/>
          <w:sz w:val="19"/>
          <w:szCs w:val="19"/>
        </w:rPr>
        <w:t>pp. 192–231</w:t>
      </w:r>
    </w:p>
    <w:p>
      <w:pPr>
        <w:pStyle w:val="Normal"/>
        <w:spacing w:lineRule="auto" w:line="300" w:before="0" w:after="160"/>
        <w:jc w:val="both"/>
        <w:rPr/>
      </w:pPr>
      <w:r>
        <w:rPr>
          <w:rFonts w:eastAsia="Calibri" w:cs="Calibri"/>
          <w:i w:val="false"/>
          <w:iCs w:val="false"/>
          <w:color w:val="1A1A1A"/>
          <w:sz w:val="21"/>
          <w:szCs w:val="21"/>
        </w:rPr>
        <w:t>The investment case, built the way a policy officer evaluating an asset class would build it: monetary policy first, market structure second, comparative positioning third, portfolio mechanics last.</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28.  </w:t>
      </w:r>
      <w:r>
        <w:rPr>
          <w:rFonts w:eastAsia="Calibri" w:cs="Calibri"/>
          <w:color w:val="1A1A1A"/>
          <w:sz w:val="21"/>
          <w:szCs w:val="21"/>
        </w:rPr>
        <w:t>Fixed Supply, Halving, and Monetary Policy Compared to Bitcoin</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21-million-coin cap · issuance schedule · how Zcash's monetary policy mirrors and diverges from Bitcoin's</w:t>
      </w:r>
    </w:p>
    <w:p>
      <w:pPr>
        <w:pStyle w:val="Normal"/>
        <w:tabs>
          <w:tab w:val="clear" w:pos="720"/>
          <w:tab w:val="right" w:pos="9026" w:leader="dot"/>
        </w:tabs>
        <w:spacing w:before="0" w:after="40"/>
        <w:rPr/>
      </w:pPr>
      <w:r>
        <w:rPr>
          <w:rFonts w:eastAsia="Calibri" w:cs="Calibri"/>
          <w:b/>
          <w:bCs/>
          <w:color w:val="8A6D3B"/>
          <w:sz w:val="21"/>
          <w:szCs w:val="21"/>
        </w:rPr>
        <w:t xml:space="preserve">29.  </w:t>
      </w:r>
      <w:r>
        <w:rPr>
          <w:rFonts w:eastAsia="Calibri" w:cs="Calibri"/>
          <w:color w:val="1A1A1A"/>
          <w:sz w:val="21"/>
          <w:szCs w:val="21"/>
        </w:rPr>
        <w:t>Reading a Crypto Market: Market Cap, Liquidity, and Sentiment Indicators</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market-cap and volume metrics · order-book depth · sentiment indices · how not to be misled by headline numbers</w:t>
      </w:r>
    </w:p>
    <w:p>
      <w:pPr>
        <w:pStyle w:val="Normal"/>
        <w:tabs>
          <w:tab w:val="clear" w:pos="720"/>
          <w:tab w:val="right" w:pos="9026" w:leader="dot"/>
        </w:tabs>
        <w:spacing w:before="0" w:after="40"/>
        <w:rPr/>
      </w:pPr>
      <w:r>
        <w:rPr>
          <w:rFonts w:eastAsia="Calibri" w:cs="Calibri"/>
          <w:b/>
          <w:bCs/>
          <w:color w:val="8A6D3B"/>
          <w:sz w:val="21"/>
          <w:szCs w:val="21"/>
        </w:rPr>
        <w:t xml:space="preserve">30.  </w:t>
      </w:r>
      <w:r>
        <w:rPr>
          <w:rFonts w:eastAsia="Calibri" w:cs="Calibri"/>
          <w:color w:val="1A1A1A"/>
          <w:sz w:val="21"/>
          <w:szCs w:val="21"/>
        </w:rPr>
        <w:t>Institutional Interest: ETF Filings and Corporate Positions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publicly disclosed institutional holdings · spot-ETF filing activity · reading institutional interest as a signal rather than a guarantee</w:t>
      </w:r>
    </w:p>
    <w:p>
      <w:pPr>
        <w:pStyle w:val="Normal"/>
        <w:tabs>
          <w:tab w:val="clear" w:pos="720"/>
          <w:tab w:val="right" w:pos="9026" w:leader="dot"/>
        </w:tabs>
        <w:spacing w:before="0" w:after="40"/>
        <w:rPr/>
      </w:pPr>
      <w:r>
        <w:rPr>
          <w:rFonts w:eastAsia="Calibri" w:cs="Calibri"/>
          <w:b/>
          <w:bCs/>
          <w:color w:val="8A6D3B"/>
          <w:sz w:val="21"/>
          <w:szCs w:val="21"/>
        </w:rPr>
        <w:t xml:space="preserve">31.  </w:t>
      </w:r>
      <w:r>
        <w:rPr>
          <w:rFonts w:eastAsia="Calibri" w:cs="Calibri"/>
          <w:color w:val="1A1A1A"/>
          <w:sz w:val="21"/>
          <w:szCs w:val="21"/>
        </w:rPr>
        <w:t>Zcash vs Monero vs Bitcoin: A Comparative Privacy-Asset Framework</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privacy model · compliance optionality · liquidity · exchange access · regulatory treatment, compared directly across all three assets</w:t>
      </w:r>
    </w:p>
    <w:p>
      <w:pPr>
        <w:pStyle w:val="Normal"/>
        <w:tabs>
          <w:tab w:val="clear" w:pos="720"/>
          <w:tab w:val="right" w:pos="9026" w:leader="dot"/>
        </w:tabs>
        <w:spacing w:before="0" w:after="40"/>
        <w:rPr/>
      </w:pPr>
      <w:r>
        <w:rPr>
          <w:rFonts w:eastAsia="Calibri" w:cs="Calibri"/>
          <w:b/>
          <w:bCs/>
          <w:color w:val="8A6D3B"/>
          <w:sz w:val="21"/>
          <w:szCs w:val="21"/>
        </w:rPr>
        <w:t xml:space="preserve">32.  </w:t>
      </w:r>
      <w:r>
        <w:rPr>
          <w:rFonts w:eastAsia="Calibri" w:cs="Calibri"/>
          <w:color w:val="1A1A1A"/>
          <w:sz w:val="21"/>
          <w:szCs w:val="21"/>
        </w:rPr>
        <w:t>Portfolio Construction: Where a Privacy Asset Fits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position-sizing logic for a small allocation · correlation with the broader crypto market and traditional assets</w:t>
      </w:r>
    </w:p>
    <w:p>
      <w:pPr>
        <w:pStyle w:val="Normal"/>
        <w:tabs>
          <w:tab w:val="clear" w:pos="720"/>
          <w:tab w:val="right" w:pos="9026" w:leader="dot"/>
        </w:tabs>
        <w:spacing w:before="0" w:after="40"/>
        <w:rPr/>
      </w:pPr>
      <w:r>
        <w:rPr>
          <w:rFonts w:eastAsia="Calibri" w:cs="Calibri"/>
          <w:b/>
          <w:bCs/>
          <w:color w:val="8A6D3B"/>
          <w:sz w:val="21"/>
          <w:szCs w:val="21"/>
        </w:rPr>
        <w:t xml:space="preserve">33.  </w:t>
      </w:r>
      <w:r>
        <w:rPr>
          <w:rFonts w:eastAsia="Calibri" w:cs="Calibri"/>
          <w:color w:val="1A1A1A"/>
          <w:sz w:val="21"/>
          <w:szCs w:val="21"/>
        </w:rPr>
        <w:t>Custody, Wallets, and Self-Custody Risk</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exchange custody vs self-custody · operational risks specific to holding a shielded balance, building on Part IV</w:t>
      </w:r>
      <w:r>
        <w:br w:type="page"/>
      </w:r>
    </w:p>
    <w:p>
      <w:pPr>
        <w:pStyle w:val="Heading1"/>
        <w:spacing w:before="480" w:after="200"/>
        <w:rPr/>
      </w:pPr>
      <w:r>
        <w:rPr>
          <w:rFonts w:eastAsia="Georgia" w:cs="Georgia" w:ascii="Georgia" w:hAnsi="Georgia"/>
          <w:b/>
          <w:bCs/>
          <w:color w:val="1A1A1A"/>
          <w:sz w:val="32"/>
          <w:szCs w:val="32"/>
        </w:rPr>
        <w:t>PART VI</w:t>
      </w:r>
    </w:p>
    <w:p>
      <w:pPr>
        <w:pStyle w:val="Normal"/>
        <w:spacing w:before="0" w:after="100"/>
        <w:rPr/>
      </w:pPr>
      <w:r>
        <w:rPr>
          <w:rFonts w:eastAsia="Georgia" w:cs="Georgia" w:ascii="Georgia" w:hAnsi="Georgia"/>
          <w:b/>
          <w:bCs/>
          <w:color w:val="1A1A1A"/>
          <w:sz w:val="30"/>
          <w:szCs w:val="30"/>
        </w:rPr>
        <w:t>TRADING, PAYMENTS, AND USING ZCASH</w:t>
      </w:r>
    </w:p>
    <w:p>
      <w:pPr>
        <w:pStyle w:val="Normal"/>
        <w:spacing w:before="0" w:after="220"/>
        <w:rPr/>
      </w:pPr>
      <w:r>
        <w:rPr>
          <w:rFonts w:eastAsia="Calibri" w:cs="Calibri"/>
          <w:b/>
          <w:bCs/>
          <w:color w:val="8A6D3B"/>
          <w:sz w:val="19"/>
          <w:szCs w:val="19"/>
        </w:rPr>
        <w:t>pp. 232–266</w:t>
      </w:r>
    </w:p>
    <w:p>
      <w:pPr>
        <w:pStyle w:val="Normal"/>
        <w:spacing w:lineRule="auto" w:line="300" w:before="0" w:after="160"/>
        <w:jc w:val="both"/>
        <w:rPr/>
      </w:pPr>
      <w:r>
        <w:rPr>
          <w:rFonts w:eastAsia="Calibri" w:cs="Calibri"/>
          <w:i w:val="false"/>
          <w:iCs w:val="false"/>
          <w:color w:val="1A1A1A"/>
          <w:sz w:val="21"/>
          <w:szCs w:val="21"/>
        </w:rPr>
        <w:t>For readers moving beyond holding: how shielded balances change the calculus for active trading, how on/off ramps work from Belgium specifically, and how stablecoins solve the volatility problem for anyone spending or invoicing in Zcash.</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34.  </w:t>
      </w:r>
      <w:r>
        <w:rPr>
          <w:rFonts w:eastAsia="Calibri" w:cs="Calibri"/>
          <w:color w:val="1A1A1A"/>
          <w:sz w:val="21"/>
          <w:szCs w:val="21"/>
        </w:rPr>
        <w:t>Shielded Trading and the Front-Running Problem on Transparent Chains</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public mempools · wallet clustering · how sophisticated counterparties anticipate large trades · what a shielded balance removes from that picture</w:t>
      </w:r>
    </w:p>
    <w:p>
      <w:pPr>
        <w:pStyle w:val="Normal"/>
        <w:tabs>
          <w:tab w:val="clear" w:pos="720"/>
          <w:tab w:val="right" w:pos="9026" w:leader="dot"/>
        </w:tabs>
        <w:spacing w:before="0" w:after="40"/>
        <w:rPr/>
      </w:pPr>
      <w:r>
        <w:rPr>
          <w:rFonts w:eastAsia="Calibri" w:cs="Calibri"/>
          <w:b/>
          <w:bCs/>
          <w:color w:val="8A6D3B"/>
          <w:sz w:val="21"/>
          <w:szCs w:val="21"/>
        </w:rPr>
        <w:t xml:space="preserve">35.  </w:t>
      </w:r>
      <w:r>
        <w:rPr>
          <w:rFonts w:eastAsia="Calibri" w:cs="Calibri"/>
          <w:color w:val="1A1A1A"/>
          <w:sz w:val="21"/>
          <w:szCs w:val="21"/>
        </w:rPr>
        <w:t>Exchanges, On/Off Ramps, and Belgian Access Points</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regulated on-ramps available to Belgian residents · KYC requirements · practical considerations moving between euros and ZEC</w:t>
      </w:r>
    </w:p>
    <w:p>
      <w:pPr>
        <w:pStyle w:val="Normal"/>
        <w:tabs>
          <w:tab w:val="clear" w:pos="720"/>
          <w:tab w:val="right" w:pos="9026" w:leader="dot"/>
        </w:tabs>
        <w:spacing w:before="0" w:after="40"/>
        <w:rPr/>
      </w:pPr>
      <w:r>
        <w:rPr>
          <w:rFonts w:eastAsia="Calibri" w:cs="Calibri"/>
          <w:b/>
          <w:bCs/>
          <w:color w:val="8A6D3B"/>
          <w:sz w:val="21"/>
          <w:szCs w:val="21"/>
        </w:rPr>
        <w:t xml:space="preserve">36.  </w:t>
      </w:r>
      <w:r>
        <w:rPr>
          <w:rFonts w:eastAsia="Calibri" w:cs="Calibri"/>
          <w:color w:val="1A1A1A"/>
          <w:sz w:val="21"/>
          <w:szCs w:val="21"/>
        </w:rPr>
        <w:t>Stablecoins as a Volatility Hedge: Mechanics of a Peg</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fiat-pegged token design · issuer reserve models · de-pegging risk · issuer counterparty risk</w:t>
      </w:r>
    </w:p>
    <w:p>
      <w:pPr>
        <w:pStyle w:val="Normal"/>
        <w:tabs>
          <w:tab w:val="clear" w:pos="720"/>
          <w:tab w:val="right" w:pos="9026" w:leader="dot"/>
        </w:tabs>
        <w:spacing w:before="0" w:after="40"/>
        <w:rPr/>
      </w:pPr>
      <w:r>
        <w:rPr>
          <w:rFonts w:eastAsia="Calibri" w:cs="Calibri"/>
          <w:b/>
          <w:bCs/>
          <w:color w:val="8A6D3B"/>
          <w:sz w:val="21"/>
          <w:szCs w:val="21"/>
        </w:rPr>
        <w:t xml:space="preserve">37.  </w:t>
      </w:r>
      <w:r>
        <w:rPr>
          <w:rFonts w:eastAsia="Calibri" w:cs="Calibri"/>
          <w:color w:val="1A1A1A"/>
          <w:sz w:val="21"/>
          <w:szCs w:val="21"/>
        </w:rPr>
        <w:t>Building a Payment Flow: Zcash In, Stablecoin Out</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worked technical and operational walk-through of accepting a shielded payment and converting near-immediately to a stable store of value</w:t>
      </w:r>
    </w:p>
    <w:p>
      <w:pPr>
        <w:pStyle w:val="Normal"/>
        <w:tabs>
          <w:tab w:val="clear" w:pos="720"/>
          <w:tab w:val="right" w:pos="9026" w:leader="dot"/>
        </w:tabs>
        <w:spacing w:before="0" w:after="40"/>
        <w:rPr/>
      </w:pPr>
      <w:r>
        <w:rPr>
          <w:rFonts w:eastAsia="Calibri" w:cs="Calibri"/>
          <w:b/>
          <w:bCs/>
          <w:color w:val="8A6D3B"/>
          <w:sz w:val="21"/>
          <w:szCs w:val="21"/>
        </w:rPr>
        <w:t xml:space="preserve">38.  </w:t>
      </w:r>
      <w:r>
        <w:rPr>
          <w:rFonts w:eastAsia="Calibri" w:cs="Calibri"/>
          <w:color w:val="1A1A1A"/>
          <w:sz w:val="21"/>
          <w:szCs w:val="21"/>
        </w:rPr>
        <w:t>Tax Treatment of Crypto Gains and Payments for Belgian Residents</w:t>
      </w:r>
      <w:r>
        <w:rPr>
          <w:rFonts w:eastAsia="Calibri" w:cs="Calibri"/>
          <w:color w:val="5B5B5B"/>
          <w:sz w:val="21"/>
          <w:szCs w:val="21"/>
        </w:rPr>
        <w:tab/>
        <w:t>10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general information on current Belgian treatment of crypto gains and receipts · explicit guidance to consult a tax professional for any individual situation</w:t>
      </w:r>
      <w:r>
        <w:br w:type="page"/>
      </w:r>
    </w:p>
    <w:p>
      <w:pPr>
        <w:pStyle w:val="Heading1"/>
        <w:spacing w:before="480" w:after="200"/>
        <w:rPr/>
      </w:pPr>
      <w:r>
        <w:rPr>
          <w:rFonts w:eastAsia="Georgia" w:cs="Georgia" w:ascii="Georgia" w:hAnsi="Georgia"/>
          <w:b/>
          <w:bCs/>
          <w:color w:val="1A1A1A"/>
          <w:sz w:val="32"/>
          <w:szCs w:val="32"/>
        </w:rPr>
        <w:t>PART VII</w:t>
      </w:r>
    </w:p>
    <w:p>
      <w:pPr>
        <w:pStyle w:val="Normal"/>
        <w:spacing w:before="0" w:after="100"/>
        <w:rPr/>
      </w:pPr>
      <w:r>
        <w:rPr>
          <w:rFonts w:eastAsia="Georgia" w:cs="Georgia" w:ascii="Georgia" w:hAnsi="Georgia"/>
          <w:b/>
          <w:bCs/>
          <w:color w:val="1A1A1A"/>
          <w:sz w:val="30"/>
          <w:szCs w:val="30"/>
        </w:rPr>
        <w:t>ZCASH FOR BELGIAN BUSINESS</w:t>
      </w:r>
    </w:p>
    <w:p>
      <w:pPr>
        <w:pStyle w:val="Normal"/>
        <w:spacing w:before="0" w:after="220"/>
        <w:rPr/>
      </w:pPr>
      <w:r>
        <w:rPr>
          <w:rFonts w:eastAsia="Calibri" w:cs="Calibri"/>
          <w:b/>
          <w:bCs/>
          <w:color w:val="8A6D3B"/>
          <w:sz w:val="19"/>
          <w:szCs w:val="19"/>
        </w:rPr>
        <w:t>pp. 267–306</w:t>
      </w:r>
    </w:p>
    <w:p>
      <w:pPr>
        <w:pStyle w:val="Normal"/>
        <w:spacing w:lineRule="auto" w:line="300" w:before="0" w:after="160"/>
        <w:jc w:val="both"/>
        <w:rPr/>
      </w:pPr>
      <w:r>
        <w:rPr>
          <w:rFonts w:eastAsia="Calibri" w:cs="Calibri"/>
          <w:i w:val="false"/>
          <w:iCs w:val="false"/>
          <w:color w:val="1A1A1A"/>
          <w:sz w:val="21"/>
          <w:szCs w:val="21"/>
        </w:rPr>
        <w:t>A practical playbook for Belgian SMEs, particularly those trading cross-border, considering crypto settlement rails for the first time.</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39.  </w:t>
      </w:r>
      <w:r>
        <w:rPr>
          <w:rFonts w:eastAsia="Calibri" w:cs="Calibri"/>
          <w:color w:val="1A1A1A"/>
          <w:sz w:val="21"/>
          <w:szCs w:val="21"/>
        </w:rPr>
        <w:t>The Cost of Cross-Border Payments Today</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SWIFT and correspondent-banking chains · card-processing costs for merchants · where each fee and delay is actually introduced</w:t>
      </w:r>
    </w:p>
    <w:p>
      <w:pPr>
        <w:pStyle w:val="Normal"/>
        <w:tabs>
          <w:tab w:val="clear" w:pos="720"/>
          <w:tab w:val="right" w:pos="9026" w:leader="dot"/>
        </w:tabs>
        <w:spacing w:before="0" w:after="40"/>
        <w:rPr/>
      </w:pPr>
      <w:r>
        <w:rPr>
          <w:rFonts w:eastAsia="Calibri" w:cs="Calibri"/>
          <w:b/>
          <w:bCs/>
          <w:color w:val="8A6D3B"/>
          <w:sz w:val="21"/>
          <w:szCs w:val="21"/>
        </w:rPr>
        <w:t xml:space="preserve">40.  </w:t>
      </w:r>
      <w:r>
        <w:rPr>
          <w:rFonts w:eastAsia="Calibri" w:cs="Calibri"/>
          <w:color w:val="1A1A1A"/>
          <w:sz w:val="21"/>
          <w:szCs w:val="21"/>
        </w:rPr>
        <w:t>Crypto Rails for SMEs: What Changes and What Doesn't</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settlement speed and cost structure · what a shielded ledger does not change about bookkeeping, reconciliation, and audit</w:t>
      </w:r>
    </w:p>
    <w:p>
      <w:pPr>
        <w:pStyle w:val="Normal"/>
        <w:tabs>
          <w:tab w:val="clear" w:pos="720"/>
          <w:tab w:val="right" w:pos="9026" w:leader="dot"/>
        </w:tabs>
        <w:spacing w:before="0" w:after="40"/>
        <w:rPr/>
      </w:pPr>
      <w:r>
        <w:rPr>
          <w:rFonts w:eastAsia="Calibri" w:cs="Calibri"/>
          <w:b/>
          <w:bCs/>
          <w:color w:val="8A6D3B"/>
          <w:sz w:val="21"/>
          <w:szCs w:val="21"/>
        </w:rPr>
        <w:t xml:space="preserve">41.  </w:t>
      </w:r>
      <w:r>
        <w:rPr>
          <w:rFonts w:eastAsia="Calibri" w:cs="Calibri"/>
          <w:color w:val="1A1A1A"/>
          <w:sz w:val="21"/>
          <w:szCs w:val="21"/>
        </w:rPr>
        <w:t>Case Study Comparisons: An Invoice Under SWIFT vs Zcash Plus Stablecoin</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side-by-side illustrative example comparing settlement time and total cost across payment rails (see Data Appendix, Table B.3)</w:t>
      </w:r>
    </w:p>
    <w:p>
      <w:pPr>
        <w:pStyle w:val="Normal"/>
        <w:tabs>
          <w:tab w:val="clear" w:pos="720"/>
          <w:tab w:val="right" w:pos="9026" w:leader="dot"/>
        </w:tabs>
        <w:spacing w:before="0" w:after="40"/>
        <w:rPr/>
      </w:pPr>
      <w:r>
        <w:rPr>
          <w:rFonts w:eastAsia="Calibri" w:cs="Calibri"/>
          <w:b/>
          <w:bCs/>
          <w:color w:val="8A6D3B"/>
          <w:sz w:val="21"/>
          <w:szCs w:val="21"/>
        </w:rPr>
        <w:t xml:space="preserve">42.  </w:t>
      </w:r>
      <w:r>
        <w:rPr>
          <w:rFonts w:eastAsia="Calibri" w:cs="Calibri"/>
          <w:color w:val="1A1A1A"/>
          <w:sz w:val="21"/>
          <w:szCs w:val="21"/>
        </w:rPr>
        <w:t>Payment Processors and Point-of-Sale Integration</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existing wallet software and third-party processors supporting shielded Zcash acceptance · a low-cost path to a first integration</w:t>
      </w:r>
    </w:p>
    <w:p>
      <w:pPr>
        <w:pStyle w:val="Normal"/>
        <w:tabs>
          <w:tab w:val="clear" w:pos="720"/>
          <w:tab w:val="right" w:pos="9026" w:leader="dot"/>
        </w:tabs>
        <w:spacing w:before="0" w:after="40"/>
        <w:rPr/>
      </w:pPr>
      <w:r>
        <w:rPr>
          <w:rFonts w:eastAsia="Calibri" w:cs="Calibri"/>
          <w:b/>
          <w:bCs/>
          <w:color w:val="8A6D3B"/>
          <w:sz w:val="21"/>
          <w:szCs w:val="21"/>
        </w:rPr>
        <w:t xml:space="preserve">43.  </w:t>
      </w:r>
      <w:r>
        <w:rPr>
          <w:rFonts w:eastAsia="Calibri" w:cs="Calibri"/>
          <w:color w:val="1A1A1A"/>
          <w:sz w:val="21"/>
          <w:szCs w:val="21"/>
        </w:rPr>
        <w:t>Protecting Commercial Data on a Public Ledger</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why supplier relationships, payment volumes, and pricing are commercially sensitive · what a shielded ledger changes about what a competitor can reconstruct</w:t>
      </w:r>
    </w:p>
    <w:p>
      <w:pPr>
        <w:pStyle w:val="Normal"/>
        <w:tabs>
          <w:tab w:val="clear" w:pos="720"/>
          <w:tab w:val="right" w:pos="9026" w:leader="dot"/>
        </w:tabs>
        <w:spacing w:before="0" w:after="40"/>
        <w:rPr/>
      </w:pPr>
      <w:r>
        <w:rPr>
          <w:rFonts w:eastAsia="Calibri" w:cs="Calibri"/>
          <w:b/>
          <w:bCs/>
          <w:color w:val="8A6D3B"/>
          <w:sz w:val="21"/>
          <w:szCs w:val="21"/>
        </w:rPr>
        <w:t xml:space="preserve">44.  </w:t>
      </w:r>
      <w:r>
        <w:rPr>
          <w:rFonts w:eastAsia="Calibri" w:cs="Calibri"/>
          <w:color w:val="1A1A1A"/>
          <w:sz w:val="21"/>
          <w:szCs w:val="21"/>
        </w:rPr>
        <w:t>A Business Adoption Playbook: Ten Steps to a First Pilot</w:t>
      </w:r>
      <w:r>
        <w:rPr>
          <w:rFonts w:eastAsia="Calibri" w:cs="Calibri"/>
          <w:color w:val="5B5B5B"/>
          <w:sz w:val="21"/>
          <w:szCs w:val="21"/>
        </w:rPr>
        <w:tab/>
        <w:t>10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structured, sequential checklist from choosing a wallet and processor through to an internal volatility policy and accountant documentation</w:t>
      </w:r>
      <w:r>
        <w:br w:type="page"/>
      </w:r>
    </w:p>
    <w:p>
      <w:pPr>
        <w:pStyle w:val="Heading1"/>
        <w:spacing w:before="480" w:after="200"/>
        <w:rPr/>
      </w:pPr>
      <w:r>
        <w:rPr>
          <w:rFonts w:eastAsia="Georgia" w:cs="Georgia" w:ascii="Georgia" w:hAnsi="Georgia"/>
          <w:b/>
          <w:bCs/>
          <w:color w:val="1A1A1A"/>
          <w:sz w:val="32"/>
          <w:szCs w:val="32"/>
        </w:rPr>
        <w:t>PART VIII</w:t>
      </w:r>
    </w:p>
    <w:p>
      <w:pPr>
        <w:pStyle w:val="Normal"/>
        <w:spacing w:before="0" w:after="100"/>
        <w:rPr/>
      </w:pPr>
      <w:r>
        <w:rPr>
          <w:rFonts w:eastAsia="Georgia" w:cs="Georgia" w:ascii="Georgia" w:hAnsi="Georgia"/>
          <w:b/>
          <w:bCs/>
          <w:color w:val="1A1A1A"/>
          <w:sz w:val="30"/>
          <w:szCs w:val="30"/>
        </w:rPr>
        <w:t>GOVERNANCE, DEVELOPMENT, AND THE ZCASH ECOSYSTEM</w:t>
      </w:r>
    </w:p>
    <w:p>
      <w:pPr>
        <w:pStyle w:val="Normal"/>
        <w:spacing w:before="0" w:after="220"/>
        <w:rPr/>
      </w:pPr>
      <w:r>
        <w:rPr>
          <w:rFonts w:eastAsia="Calibri" w:cs="Calibri"/>
          <w:b/>
          <w:bCs/>
          <w:color w:val="8A6D3B"/>
          <w:sz w:val="19"/>
          <w:szCs w:val="19"/>
        </w:rPr>
        <w:t>pp. 307–348</w:t>
      </w:r>
    </w:p>
    <w:p>
      <w:pPr>
        <w:pStyle w:val="Normal"/>
        <w:spacing w:lineRule="auto" w:line="300" w:before="0" w:after="160"/>
        <w:jc w:val="both"/>
        <w:rPr/>
      </w:pPr>
      <w:r>
        <w:rPr>
          <w:rFonts w:eastAsia="Calibri" w:cs="Calibri"/>
          <w:i w:val="false"/>
          <w:iCs w:val="false"/>
          <w:color w:val="1A1A1A"/>
          <w:sz w:val="21"/>
          <w:szCs w:val="21"/>
        </w:rPr>
        <w:t>How the protocol itself is built, funded, governed, and changed, set against how Bitcoin and Ethereum handle the same questions — essential background for any reader who wants to move from user to informed participant, including how to get involved from Belgium.</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45.  </w:t>
      </w:r>
      <w:r>
        <w:rPr>
          <w:rFonts w:eastAsia="Calibri" w:cs="Calibri"/>
          <w:color w:val="1A1A1A"/>
          <w:sz w:val="21"/>
          <w:szCs w:val="21"/>
        </w:rPr>
        <w:t>How Zcash Is Governed: ECC, the Zcash Foundation, and Community Grants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roles of the Electric Coin Company, the Zcash Foundation, and the Zcash Community Grants (ZCG) committee in steering development</w:t>
      </w:r>
    </w:p>
    <w:p>
      <w:pPr>
        <w:pStyle w:val="Normal"/>
        <w:tabs>
          <w:tab w:val="clear" w:pos="720"/>
          <w:tab w:val="right" w:pos="9026" w:leader="dot"/>
        </w:tabs>
        <w:spacing w:before="0" w:after="40"/>
        <w:rPr/>
      </w:pPr>
      <w:r>
        <w:rPr>
          <w:rFonts w:eastAsia="Calibri" w:cs="Calibri"/>
          <w:b/>
          <w:bCs/>
          <w:color w:val="8A6D3B"/>
          <w:sz w:val="21"/>
          <w:szCs w:val="21"/>
        </w:rPr>
        <w:t xml:space="preserve">46.  </w:t>
      </w:r>
      <w:r>
        <w:rPr>
          <w:rFonts w:eastAsia="Calibri" w:cs="Calibri"/>
          <w:color w:val="1A1A1A"/>
          <w:sz w:val="21"/>
          <w:szCs w:val="21"/>
        </w:rPr>
        <w:t>Zcash Improvement Proposals: How Protocol Change Happens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ZIP process from draft to network activation · how the response to the 2026 vulnerability moved through it</w:t>
      </w:r>
    </w:p>
    <w:p>
      <w:pPr>
        <w:pStyle w:val="Normal"/>
        <w:tabs>
          <w:tab w:val="clear" w:pos="720"/>
          <w:tab w:val="right" w:pos="9026" w:leader="dot"/>
        </w:tabs>
        <w:spacing w:before="0" w:after="40"/>
        <w:rPr/>
      </w:pPr>
      <w:r>
        <w:rPr>
          <w:rFonts w:eastAsia="Calibri" w:cs="Calibri"/>
          <w:b/>
          <w:bCs/>
          <w:color w:val="8A6D3B"/>
          <w:sz w:val="21"/>
          <w:szCs w:val="21"/>
        </w:rPr>
        <w:t xml:space="preserve">47.  </w:t>
      </w:r>
      <w:r>
        <w:rPr>
          <w:rFonts w:eastAsia="Calibri" w:cs="Calibri"/>
          <w:color w:val="1A1A1A"/>
          <w:sz w:val="21"/>
          <w:szCs w:val="21"/>
        </w:rPr>
        <w:t>Funding the Protocol: The Dev Fund and Community Grants in Practice</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how ongoing development is financed · what the community grants process funds · how independent teams contribute to the codebase</w:t>
      </w:r>
    </w:p>
    <w:p>
      <w:pPr>
        <w:pStyle w:val="Normal"/>
        <w:tabs>
          <w:tab w:val="clear" w:pos="720"/>
          <w:tab w:val="right" w:pos="9026" w:leader="dot"/>
        </w:tabs>
        <w:spacing w:before="0" w:after="40"/>
        <w:rPr/>
      </w:pPr>
      <w:r>
        <w:rPr>
          <w:rFonts w:eastAsia="Calibri" w:cs="Calibri"/>
          <w:b/>
          <w:bCs/>
          <w:color w:val="8A6D3B"/>
          <w:sz w:val="21"/>
          <w:szCs w:val="21"/>
        </w:rPr>
        <w:t xml:space="preserve">48.  </w:t>
      </w:r>
      <w:r>
        <w:rPr>
          <w:rFonts w:eastAsia="Calibri" w:cs="Calibri"/>
          <w:color w:val="1A1A1A"/>
          <w:sz w:val="21"/>
          <w:szCs w:val="21"/>
        </w:rPr>
        <w:t>Building on Zcash: An Introduction for Developers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developer tooling and SDKs · the technical documentation portal · a first-contribution roadmap for an interested developer</w:t>
      </w:r>
    </w:p>
    <w:p>
      <w:pPr>
        <w:pStyle w:val="Normal"/>
        <w:tabs>
          <w:tab w:val="clear" w:pos="720"/>
          <w:tab w:val="right" w:pos="9026" w:leader="dot"/>
        </w:tabs>
        <w:spacing w:before="0" w:after="40"/>
        <w:rPr/>
      </w:pPr>
      <w:r>
        <w:rPr>
          <w:rFonts w:eastAsia="Calibri" w:cs="Calibri"/>
          <w:b/>
          <w:bCs/>
          <w:color w:val="8A6D3B"/>
          <w:sz w:val="21"/>
          <w:szCs w:val="21"/>
        </w:rPr>
        <w:t xml:space="preserve">49.  </w:t>
      </w:r>
      <w:r>
        <w:rPr>
          <w:rFonts w:eastAsia="Calibri" w:cs="Calibri"/>
          <w:color w:val="1A1A1A"/>
          <w:sz w:val="21"/>
          <w:szCs w:val="21"/>
        </w:rPr>
        <w:t>Comparative Governance: How Bitcoin, Ethereum, and Zcash Each Decide</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Bitcoin's rough-consensus and BIP process · Ethereum's EIP process and client-team coordination · Zcash's ZIP and grants model, compared side by side</w:t>
      </w:r>
    </w:p>
    <w:p>
      <w:pPr>
        <w:pStyle w:val="Normal"/>
        <w:tabs>
          <w:tab w:val="clear" w:pos="720"/>
          <w:tab w:val="right" w:pos="9026" w:leader="dot"/>
        </w:tabs>
        <w:spacing w:before="0" w:after="40"/>
        <w:rPr/>
      </w:pPr>
      <w:r>
        <w:rPr>
          <w:rFonts w:eastAsia="Calibri" w:cs="Calibri"/>
          <w:b/>
          <w:bCs/>
          <w:color w:val="8A6D3B"/>
          <w:sz w:val="21"/>
          <w:szCs w:val="21"/>
        </w:rPr>
        <w:t xml:space="preserve">50.  </w:t>
      </w:r>
      <w:r>
        <w:rPr>
          <w:rFonts w:eastAsia="Calibri" w:cs="Calibri"/>
          <w:color w:val="1A1A1A"/>
          <w:sz w:val="21"/>
          <w:szCs w:val="21"/>
        </w:rPr>
        <w:t>The Global Community: Meetups, Conferences, and Belgium's Place in It</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wider network of Zcash Foundation-supported meetups and annual gatherings · practical notes for readers in Belgium who want to connect with the broader community and each other</w:t>
      </w:r>
      <w:r>
        <w:br w:type="page"/>
      </w:r>
    </w:p>
    <w:p>
      <w:pPr>
        <w:pStyle w:val="Heading1"/>
        <w:spacing w:before="480" w:after="200"/>
        <w:rPr/>
      </w:pPr>
      <w:r>
        <w:rPr>
          <w:rFonts w:eastAsia="Georgia" w:cs="Georgia" w:ascii="Georgia" w:hAnsi="Georgia"/>
          <w:b/>
          <w:bCs/>
          <w:color w:val="1A1A1A"/>
          <w:sz w:val="32"/>
          <w:szCs w:val="32"/>
        </w:rPr>
        <w:t>PART IX</w:t>
      </w:r>
    </w:p>
    <w:p>
      <w:pPr>
        <w:pStyle w:val="Normal"/>
        <w:spacing w:before="0" w:after="100"/>
        <w:rPr/>
      </w:pPr>
      <w:r>
        <w:rPr>
          <w:rFonts w:eastAsia="Georgia" w:cs="Georgia" w:ascii="Georgia" w:hAnsi="Georgia"/>
          <w:b/>
          <w:bCs/>
          <w:color w:val="1A1A1A"/>
          <w:sz w:val="30"/>
          <w:szCs w:val="30"/>
        </w:rPr>
        <w:t>BELGIUM IN CONTEXT</w:t>
      </w:r>
    </w:p>
    <w:p>
      <w:pPr>
        <w:pStyle w:val="Normal"/>
        <w:spacing w:before="0" w:after="220"/>
        <w:rPr/>
      </w:pPr>
      <w:r>
        <w:rPr>
          <w:rFonts w:eastAsia="Calibri" w:cs="Calibri"/>
          <w:b/>
          <w:bCs/>
          <w:color w:val="8A6D3B"/>
          <w:sz w:val="19"/>
          <w:szCs w:val="19"/>
        </w:rPr>
        <w:t>pp. 349–383</w:t>
      </w:r>
    </w:p>
    <w:p>
      <w:pPr>
        <w:pStyle w:val="Normal"/>
        <w:spacing w:lineRule="auto" w:line="300" w:before="0" w:after="160"/>
        <w:jc w:val="both"/>
        <w:rPr/>
      </w:pPr>
      <w:r>
        <w:rPr>
          <w:rFonts w:eastAsia="Calibri" w:cs="Calibri"/>
          <w:i w:val="false"/>
          <w:iCs w:val="false"/>
          <w:color w:val="1A1A1A"/>
          <w:sz w:val="21"/>
          <w:szCs w:val="21"/>
        </w:rPr>
        <w:t>Where the handbook's technical and financial education meets the country both authors are writing from and about.</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51.  </w:t>
      </w:r>
      <w:r>
        <w:rPr>
          <w:rFonts w:eastAsia="Calibri" w:cs="Calibri"/>
          <w:color w:val="1A1A1A"/>
          <w:sz w:val="21"/>
          <w:szCs w:val="21"/>
        </w:rPr>
        <w:t>The Belgian Saver: Deposits, Rates, and Real Returns Against Inflation</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regulated savings-account balances · average deposit rates · the household saving rate, set against inflation (see Data Appendix, Table B.1)</w:t>
      </w:r>
    </w:p>
    <w:p>
      <w:pPr>
        <w:pStyle w:val="Normal"/>
        <w:tabs>
          <w:tab w:val="clear" w:pos="720"/>
          <w:tab w:val="right" w:pos="9026" w:leader="dot"/>
        </w:tabs>
        <w:spacing w:before="0" w:after="40"/>
        <w:rPr/>
      </w:pPr>
      <w:r>
        <w:rPr>
          <w:rFonts w:eastAsia="Calibri" w:cs="Calibri"/>
          <w:b/>
          <w:bCs/>
          <w:color w:val="8A6D3B"/>
          <w:sz w:val="21"/>
          <w:szCs w:val="21"/>
        </w:rPr>
        <w:t xml:space="preserve">52.  </w:t>
      </w:r>
      <w:r>
        <w:rPr>
          <w:rFonts w:eastAsia="Calibri" w:cs="Calibri"/>
          <w:color w:val="1A1A1A"/>
          <w:sz w:val="21"/>
          <w:szCs w:val="21"/>
        </w:rPr>
        <w:t>The Savings and Investments Union: What the European Commission Is Trying to Fix</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policy logic behind encouraging retail capital out of low-yield deposits and toward productive investment</w:t>
      </w:r>
    </w:p>
    <w:p>
      <w:pPr>
        <w:pStyle w:val="Normal"/>
        <w:tabs>
          <w:tab w:val="clear" w:pos="720"/>
          <w:tab w:val="right" w:pos="9026" w:leader="dot"/>
        </w:tabs>
        <w:spacing w:before="0" w:after="40"/>
        <w:rPr/>
      </w:pPr>
      <w:r>
        <w:rPr>
          <w:rFonts w:eastAsia="Calibri" w:cs="Calibri"/>
          <w:b/>
          <w:bCs/>
          <w:color w:val="8A6D3B"/>
          <w:sz w:val="21"/>
          <w:szCs w:val="21"/>
        </w:rPr>
        <w:t xml:space="preserve">53.  </w:t>
      </w:r>
      <w:r>
        <w:rPr>
          <w:rFonts w:eastAsia="Calibri" w:cs="Calibri"/>
          <w:color w:val="1A1A1A"/>
          <w:sz w:val="21"/>
          <w:szCs w:val="21"/>
        </w:rPr>
        <w:t>Crypto Adoption in Belgium: Who Owns It, and How Fast That's Changing</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ownership-rate data for Belgium in the eurozone context · comparison with neighbouring markets (see Data Appendix, Table B.2)</w:t>
      </w:r>
    </w:p>
    <w:p>
      <w:pPr>
        <w:pStyle w:val="Normal"/>
        <w:tabs>
          <w:tab w:val="clear" w:pos="720"/>
          <w:tab w:val="right" w:pos="9026" w:leader="dot"/>
        </w:tabs>
        <w:spacing w:before="0" w:after="40"/>
        <w:rPr/>
      </w:pPr>
      <w:r>
        <w:rPr>
          <w:rFonts w:eastAsia="Calibri" w:cs="Calibri"/>
          <w:b/>
          <w:bCs/>
          <w:color w:val="8A6D3B"/>
          <w:sz w:val="21"/>
          <w:szCs w:val="21"/>
        </w:rPr>
        <w:t xml:space="preserve">54.  </w:t>
      </w:r>
      <w:r>
        <w:rPr>
          <w:rFonts w:eastAsia="Calibri" w:cs="Calibri"/>
          <w:color w:val="1A1A1A"/>
          <w:sz w:val="21"/>
          <w:szCs w:val="21"/>
        </w:rPr>
        <w:t>Comparative Snapshot: Belgium vs the Netherlands, France, and Luxembourg</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country-by-country comparison of savings yield and crypto ownership</w:t>
      </w:r>
    </w:p>
    <w:p>
      <w:pPr>
        <w:pStyle w:val="Normal"/>
        <w:tabs>
          <w:tab w:val="clear" w:pos="720"/>
          <w:tab w:val="right" w:pos="9026" w:leader="dot"/>
        </w:tabs>
        <w:spacing w:before="0" w:after="40"/>
        <w:rPr/>
      </w:pPr>
      <w:r>
        <w:rPr>
          <w:rFonts w:eastAsia="Calibri" w:cs="Calibri"/>
          <w:b/>
          <w:bCs/>
          <w:color w:val="8A6D3B"/>
          <w:sz w:val="21"/>
          <w:szCs w:val="21"/>
        </w:rPr>
        <w:t xml:space="preserve">55.  </w:t>
      </w:r>
      <w:r>
        <w:rPr>
          <w:rFonts w:eastAsia="Calibri" w:cs="Calibri"/>
          <w:color w:val="1A1A1A"/>
          <w:sz w:val="21"/>
          <w:szCs w:val="21"/>
        </w:rPr>
        <w:t>Where Digital Assets Fit Without Replacing a Sound Financial Plan</w:t>
      </w:r>
      <w:r>
        <w:rPr>
          <w:rFonts w:eastAsia="Calibri" w:cs="Calibri"/>
          <w:color w:val="5B5B5B"/>
          <w:sz w:val="21"/>
          <w:szCs w:val="21"/>
        </w:rPr>
        <w:tab/>
        <w:t>8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closing framework chapter: emergency funds, diversified core holdings, and a small, deliberate allocation, in that order</w:t>
      </w:r>
      <w:r>
        <w:br w:type="page"/>
      </w:r>
    </w:p>
    <w:p>
      <w:pPr>
        <w:pStyle w:val="Heading1"/>
        <w:spacing w:before="480" w:after="200"/>
        <w:rPr/>
      </w:pPr>
      <w:r>
        <w:rPr>
          <w:rFonts w:eastAsia="Georgia" w:cs="Georgia" w:ascii="Georgia" w:hAnsi="Georgia"/>
          <w:b/>
          <w:bCs/>
          <w:color w:val="1A1A1A"/>
          <w:sz w:val="32"/>
          <w:szCs w:val="32"/>
        </w:rPr>
        <w:t>PART X</w:t>
      </w:r>
    </w:p>
    <w:p>
      <w:pPr>
        <w:pStyle w:val="Normal"/>
        <w:spacing w:before="0" w:after="100"/>
        <w:rPr/>
      </w:pPr>
      <w:r>
        <w:rPr>
          <w:rFonts w:eastAsia="Georgia" w:cs="Georgia" w:ascii="Georgia" w:hAnsi="Georgia"/>
          <w:b/>
          <w:bCs/>
          <w:color w:val="1A1A1A"/>
          <w:sz w:val="30"/>
          <w:szCs w:val="30"/>
        </w:rPr>
        <w:t>REGULATION: MICA, AML, AND THE PRIVACY-COIN QUESTION</w:t>
      </w:r>
    </w:p>
    <w:p>
      <w:pPr>
        <w:pStyle w:val="Normal"/>
        <w:spacing w:before="0" w:after="220"/>
        <w:rPr/>
      </w:pPr>
      <w:r>
        <w:rPr>
          <w:rFonts w:eastAsia="Calibri" w:cs="Calibri"/>
          <w:b/>
          <w:bCs/>
          <w:color w:val="8A6D3B"/>
          <w:sz w:val="19"/>
          <w:szCs w:val="19"/>
        </w:rPr>
        <w:t>pp. 384–418</w:t>
      </w:r>
    </w:p>
    <w:p>
      <w:pPr>
        <w:pStyle w:val="Normal"/>
        <w:spacing w:lineRule="auto" w:line="300" w:before="0" w:after="160"/>
        <w:jc w:val="both"/>
        <w:rPr/>
      </w:pPr>
      <w:r>
        <w:rPr>
          <w:rFonts w:eastAsia="Calibri" w:cs="Calibri"/>
          <w:i w:val="false"/>
          <w:iCs w:val="false"/>
          <w:color w:val="1A1A1A"/>
          <w:sz w:val="21"/>
          <w:szCs w:val="21"/>
        </w:rPr>
        <w:t>The regulatory picture, written the way Sébastien would brief a colleague: precise about what is settled, honest about what is still moving, and specific about the institutions a Belgian reader should actually be watching.</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56.  </w:t>
      </w:r>
      <w:r>
        <w:rPr>
          <w:rFonts w:eastAsia="Calibri" w:cs="Calibri"/>
          <w:color w:val="1A1A1A"/>
          <w:sz w:val="21"/>
          <w:szCs w:val="21"/>
        </w:rPr>
        <w:t>MiCA in Plain Terms: What It Regulates and What It Doesn't</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scope of the Markets in Crypto-Assets regulation · licensing for crypto-asset service providers · where privacy coins sit relative to the regime</w:t>
      </w:r>
    </w:p>
    <w:p>
      <w:pPr>
        <w:pStyle w:val="Normal"/>
        <w:tabs>
          <w:tab w:val="clear" w:pos="720"/>
          <w:tab w:val="right" w:pos="9026" w:leader="dot"/>
        </w:tabs>
        <w:spacing w:before="0" w:after="40"/>
        <w:rPr/>
      </w:pPr>
      <w:r>
        <w:rPr>
          <w:rFonts w:eastAsia="Calibri" w:cs="Calibri"/>
          <w:b/>
          <w:bCs/>
          <w:color w:val="8A6D3B"/>
          <w:sz w:val="21"/>
          <w:szCs w:val="21"/>
        </w:rPr>
        <w:t xml:space="preserve">57.  </w:t>
      </w:r>
      <w:r>
        <w:rPr>
          <w:rFonts w:eastAsia="Calibri" w:cs="Calibri"/>
          <w:color w:val="1A1A1A"/>
          <w:sz w:val="21"/>
          <w:szCs w:val="21"/>
        </w:rPr>
        <w:t>AML/CFT Rules and the Travel Rule for Privacy-Enhanced Assets</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how anti-money-laundering and counter-terrorist-financing rules apply to shielded transactions · the practical effect on exchange-level compliance</w:t>
      </w:r>
    </w:p>
    <w:p>
      <w:pPr>
        <w:pStyle w:val="Normal"/>
        <w:tabs>
          <w:tab w:val="clear" w:pos="720"/>
          <w:tab w:val="right" w:pos="9026" w:leader="dot"/>
        </w:tabs>
        <w:spacing w:before="0" w:after="40"/>
        <w:rPr/>
      </w:pPr>
      <w:r>
        <w:rPr>
          <w:rFonts w:eastAsia="Calibri" w:cs="Calibri"/>
          <w:b/>
          <w:bCs/>
          <w:color w:val="8A6D3B"/>
          <w:sz w:val="21"/>
          <w:szCs w:val="21"/>
        </w:rPr>
        <w:t xml:space="preserve">58.  </w:t>
      </w:r>
      <w:r>
        <w:rPr>
          <w:rFonts w:eastAsia="Calibri" w:cs="Calibri"/>
          <w:color w:val="1A1A1A"/>
          <w:sz w:val="21"/>
          <w:szCs w:val="21"/>
        </w:rPr>
        <w:t>The 2027 Custody Restriction and How Exchanges Are Adjusting</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what changes for licensed exchanges' custody of privacy coins from mid-2027 · how platforms have begun adapting ahead of the deadline</w:t>
      </w:r>
    </w:p>
    <w:p>
      <w:pPr>
        <w:pStyle w:val="Normal"/>
        <w:tabs>
          <w:tab w:val="clear" w:pos="720"/>
          <w:tab w:val="right" w:pos="9026" w:leader="dot"/>
        </w:tabs>
        <w:spacing w:before="0" w:after="40"/>
        <w:rPr/>
      </w:pPr>
      <w:r>
        <w:rPr>
          <w:rFonts w:eastAsia="Calibri" w:cs="Calibri"/>
          <w:b/>
          <w:bCs/>
          <w:color w:val="8A6D3B"/>
          <w:sz w:val="21"/>
          <w:szCs w:val="21"/>
        </w:rPr>
        <w:t xml:space="preserve">59.  </w:t>
      </w:r>
      <w:r>
        <w:rPr>
          <w:rFonts w:eastAsia="Calibri" w:cs="Calibri"/>
          <w:color w:val="1A1A1A"/>
          <w:sz w:val="21"/>
          <w:szCs w:val="21"/>
        </w:rPr>
        <w:t>Zcash's Compliance Model vs a Fully Opaque Privacy Coin</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why optional transparency and viewing keys give Zcash a different regulatory posture than a privacy coin with no disclosure mechanism</w:t>
      </w:r>
    </w:p>
    <w:p>
      <w:pPr>
        <w:pStyle w:val="Normal"/>
        <w:tabs>
          <w:tab w:val="clear" w:pos="720"/>
          <w:tab w:val="right" w:pos="9026" w:leader="dot"/>
        </w:tabs>
        <w:spacing w:before="0" w:after="40"/>
        <w:rPr/>
      </w:pPr>
      <w:r>
        <w:rPr>
          <w:rFonts w:eastAsia="Calibri" w:cs="Calibri"/>
          <w:b/>
          <w:bCs/>
          <w:color w:val="8A6D3B"/>
          <w:sz w:val="21"/>
          <w:szCs w:val="21"/>
        </w:rPr>
        <w:t xml:space="preserve">60.  </w:t>
      </w:r>
      <w:r>
        <w:rPr>
          <w:rFonts w:eastAsia="Calibri" w:cs="Calibri"/>
          <w:color w:val="1A1A1A"/>
          <w:sz w:val="21"/>
          <w:szCs w:val="21"/>
        </w:rPr>
        <w:t>The Belgian and EU Regulatory Bodies to Know</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FSMA, the National Bank of Belgium, and ESMA — mandates, and how to read their public guidance</w:t>
      </w:r>
      <w:r>
        <w:br w:type="page"/>
      </w:r>
    </w:p>
    <w:p>
      <w:pPr>
        <w:pStyle w:val="Heading1"/>
        <w:spacing w:before="480" w:after="200"/>
        <w:rPr/>
      </w:pPr>
      <w:r>
        <w:rPr>
          <w:rFonts w:eastAsia="Georgia" w:cs="Georgia" w:ascii="Georgia" w:hAnsi="Georgia"/>
          <w:b/>
          <w:bCs/>
          <w:color w:val="1A1A1A"/>
          <w:sz w:val="32"/>
          <w:szCs w:val="32"/>
        </w:rPr>
        <w:t>PART XI</w:t>
      </w:r>
    </w:p>
    <w:p>
      <w:pPr>
        <w:pStyle w:val="Normal"/>
        <w:spacing w:before="0" w:after="100"/>
        <w:rPr/>
      </w:pPr>
      <w:r>
        <w:rPr>
          <w:rFonts w:eastAsia="Georgia" w:cs="Georgia" w:ascii="Georgia" w:hAnsi="Georgia"/>
          <w:b/>
          <w:bCs/>
          <w:color w:val="1A1A1A"/>
          <w:sz w:val="30"/>
          <w:szCs w:val="30"/>
        </w:rPr>
        <w:t>RISKS AND HONEST COUNTERARGUMENTS</w:t>
      </w:r>
    </w:p>
    <w:p>
      <w:pPr>
        <w:pStyle w:val="Normal"/>
        <w:spacing w:before="0" w:after="220"/>
        <w:rPr/>
      </w:pPr>
      <w:r>
        <w:rPr>
          <w:rFonts w:eastAsia="Calibri" w:cs="Calibri"/>
          <w:b/>
          <w:bCs/>
          <w:color w:val="8A6D3B"/>
          <w:sz w:val="19"/>
          <w:szCs w:val="19"/>
        </w:rPr>
        <w:t>pp. 419–450</w:t>
      </w:r>
    </w:p>
    <w:p>
      <w:pPr>
        <w:pStyle w:val="Normal"/>
        <w:spacing w:lineRule="auto" w:line="300" w:before="0" w:after="160"/>
        <w:jc w:val="both"/>
        <w:rPr/>
      </w:pPr>
      <w:r>
        <w:rPr>
          <w:rFonts w:eastAsia="Calibri" w:cs="Calibri"/>
          <w:i w:val="false"/>
          <w:iCs w:val="false"/>
          <w:color w:val="1A1A1A"/>
          <w:sz w:val="21"/>
          <w:szCs w:val="21"/>
        </w:rPr>
        <w:t>A deliberately adversarial part. Every claim made earlier in the book is stress-tested here, including a comparative look at industry security failures and a full chapter written from the perspective of a thoughtful skeptic.</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61.  </w:t>
      </w:r>
      <w:r>
        <w:rPr>
          <w:rFonts w:eastAsia="Calibri" w:cs="Calibri"/>
          <w:color w:val="1A1A1A"/>
          <w:sz w:val="21"/>
          <w:szCs w:val="21"/>
        </w:rPr>
        <w:t>Volatility, Liquidity Risk, and the Case Against Holding Zcash</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historical drawdowns, including the sharp decline during the 2026 security scare · for whom this asset class is simply not appropriate</w:t>
      </w:r>
    </w:p>
    <w:p>
      <w:pPr>
        <w:pStyle w:val="Normal"/>
        <w:tabs>
          <w:tab w:val="clear" w:pos="720"/>
          <w:tab w:val="right" w:pos="9026" w:leader="dot"/>
        </w:tabs>
        <w:spacing w:before="0" w:after="40"/>
        <w:rPr/>
      </w:pPr>
      <w:r>
        <w:rPr>
          <w:rFonts w:eastAsia="Calibri" w:cs="Calibri"/>
          <w:b/>
          <w:bCs/>
          <w:color w:val="8A6D3B"/>
          <w:sz w:val="21"/>
          <w:szCs w:val="21"/>
        </w:rPr>
        <w:t xml:space="preserve">62.  </w:t>
      </w:r>
      <w:r>
        <w:rPr>
          <w:rFonts w:eastAsia="Calibri" w:cs="Calibri"/>
          <w:color w:val="1A1A1A"/>
          <w:sz w:val="21"/>
          <w:szCs w:val="21"/>
        </w:rPr>
        <w:t>Regulatory Risk: Scenarios Where Access Tightens Further</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plausible paths by which EU or Belgian rules could further restrict privacy-coin custody, trading, or use</w:t>
      </w:r>
    </w:p>
    <w:p>
      <w:pPr>
        <w:pStyle w:val="Normal"/>
        <w:tabs>
          <w:tab w:val="clear" w:pos="720"/>
          <w:tab w:val="right" w:pos="9026" w:leader="dot"/>
        </w:tabs>
        <w:spacing w:before="0" w:after="40"/>
        <w:rPr/>
      </w:pPr>
      <w:r>
        <w:rPr>
          <w:rFonts w:eastAsia="Calibri" w:cs="Calibri"/>
          <w:b/>
          <w:bCs/>
          <w:color w:val="8A6D3B"/>
          <w:sz w:val="21"/>
          <w:szCs w:val="21"/>
        </w:rPr>
        <w:t xml:space="preserve">63.  </w:t>
      </w:r>
      <w:r>
        <w:rPr>
          <w:rFonts w:eastAsia="Calibri" w:cs="Calibri"/>
          <w:color w:val="1A1A1A"/>
          <w:sz w:val="21"/>
          <w:szCs w:val="21"/>
        </w:rPr>
        <w:t>Technical Risk: Cryptographic Assumptions and What Could Still Go Wrong</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the mathematical assumptions Zcash's privacy guarantees rest on · post-quantum considerations · lessons still being absorbed from the 2026 incident</w:t>
      </w:r>
    </w:p>
    <w:p>
      <w:pPr>
        <w:pStyle w:val="Normal"/>
        <w:tabs>
          <w:tab w:val="clear" w:pos="720"/>
          <w:tab w:val="right" w:pos="9026" w:leader="dot"/>
        </w:tabs>
        <w:spacing w:before="0" w:after="40"/>
        <w:rPr/>
      </w:pPr>
      <w:r>
        <w:rPr>
          <w:rFonts w:eastAsia="Calibri" w:cs="Calibri"/>
          <w:b/>
          <w:bCs/>
          <w:color w:val="8A6D3B"/>
          <w:sz w:val="21"/>
          <w:szCs w:val="21"/>
        </w:rPr>
        <w:t xml:space="preserve">64.  </w:t>
      </w:r>
      <w:r>
        <w:rPr>
          <w:rFonts w:eastAsia="Calibri" w:cs="Calibri"/>
          <w:color w:val="1A1A1A"/>
          <w:sz w:val="21"/>
          <w:szCs w:val="21"/>
        </w:rPr>
        <w:t>Lessons From Industry Security Failures: A Comparative Postmortem</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structured look back at major industry incidents — exchange failures, bridge exploits, protocol-level bugs — compared against how the Zcash 2026 disclosure was handled</w:t>
      </w:r>
    </w:p>
    <w:p>
      <w:pPr>
        <w:pStyle w:val="Normal"/>
        <w:tabs>
          <w:tab w:val="clear" w:pos="720"/>
          <w:tab w:val="right" w:pos="9026" w:leader="dot"/>
        </w:tabs>
        <w:spacing w:before="0" w:after="40"/>
        <w:rPr/>
      </w:pPr>
      <w:r>
        <w:rPr>
          <w:rFonts w:eastAsia="Calibri" w:cs="Calibri"/>
          <w:b/>
          <w:bCs/>
          <w:color w:val="8A6D3B"/>
          <w:sz w:val="21"/>
          <w:szCs w:val="21"/>
        </w:rPr>
        <w:t xml:space="preserve">65.  </w:t>
      </w:r>
      <w:r>
        <w:rPr>
          <w:rFonts w:eastAsia="Calibri" w:cs="Calibri"/>
          <w:color w:val="1A1A1A"/>
          <w:sz w:val="21"/>
          <w:szCs w:val="21"/>
        </w:rPr>
        <w:t>The Skeptic's Chapter: Arguments We Take Seriously</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written deliberately against the book's own thesis — concentration risk, regulatory-arbitrage concerns, and the structurally harder path privacy coins face to mainstream adoption</w:t>
      </w:r>
      <w:r>
        <w:br w:type="page"/>
      </w:r>
    </w:p>
    <w:p>
      <w:pPr>
        <w:pStyle w:val="Heading1"/>
        <w:spacing w:before="480" w:after="200"/>
        <w:rPr/>
      </w:pPr>
      <w:r>
        <w:rPr>
          <w:rFonts w:eastAsia="Georgia" w:cs="Georgia" w:ascii="Georgia" w:hAnsi="Georgia"/>
          <w:b/>
          <w:bCs/>
          <w:color w:val="1A1A1A"/>
          <w:sz w:val="32"/>
          <w:szCs w:val="32"/>
        </w:rPr>
        <w:t>PART XII</w:t>
      </w:r>
    </w:p>
    <w:p>
      <w:pPr>
        <w:pStyle w:val="Normal"/>
        <w:spacing w:before="0" w:after="100"/>
        <w:rPr/>
      </w:pPr>
      <w:r>
        <w:rPr>
          <w:rFonts w:eastAsia="Georgia" w:cs="Georgia" w:ascii="Georgia" w:hAnsi="Georgia"/>
          <w:b/>
          <w:bCs/>
          <w:color w:val="1A1A1A"/>
          <w:sz w:val="30"/>
          <w:szCs w:val="30"/>
        </w:rPr>
        <w:t>THE ROAD AHEAD</w:t>
      </w:r>
    </w:p>
    <w:p>
      <w:pPr>
        <w:pStyle w:val="Normal"/>
        <w:spacing w:before="0" w:after="220"/>
        <w:rPr/>
      </w:pPr>
      <w:r>
        <w:rPr>
          <w:rFonts w:eastAsia="Calibri" w:cs="Calibri"/>
          <w:b/>
          <w:bCs/>
          <w:color w:val="8A6D3B"/>
          <w:sz w:val="19"/>
          <w:szCs w:val="19"/>
        </w:rPr>
        <w:t>pp. 451–470</w:t>
      </w:r>
    </w:p>
    <w:p>
      <w:pPr>
        <w:pStyle w:val="Normal"/>
        <w:spacing w:lineRule="auto" w:line="300" w:before="0" w:after="160"/>
        <w:jc w:val="both"/>
        <w:rPr/>
      </w:pPr>
      <w:r>
        <w:rPr>
          <w:rFonts w:eastAsia="Calibri" w:cs="Calibri"/>
          <w:i w:val="false"/>
          <w:iCs w:val="false"/>
          <w:color w:val="1A1A1A"/>
          <w:sz w:val="21"/>
          <w:szCs w:val="21"/>
        </w:rPr>
        <w:t>Looking forward on both the technical and Belgian-adoption tracks, before a final synthesis chapter.</w:t>
      </w:r>
    </w:p>
    <w:p>
      <w:pPr>
        <w:pStyle w:val="Normal"/>
        <w:pBdr>
          <w:bottom w:val="single" w:sz="6" w:space="4" w:color="C9C2B4"/>
        </w:pBdr>
        <w:spacing w:before="0" w:after="160"/>
        <w:rPr/>
      </w:pPr>
      <w:r>
        <w:rPr/>
      </w:r>
    </w:p>
    <w:p>
      <w:pPr>
        <w:pStyle w:val="Normal"/>
        <w:tabs>
          <w:tab w:val="clear" w:pos="720"/>
          <w:tab w:val="right" w:pos="9026" w:leader="dot"/>
        </w:tabs>
        <w:spacing w:before="0" w:after="40"/>
        <w:rPr/>
      </w:pPr>
      <w:r>
        <w:rPr>
          <w:rFonts w:eastAsia="Calibri" w:cs="Calibri"/>
          <w:b/>
          <w:bCs/>
          <w:color w:val="8A6D3B"/>
          <w:sz w:val="21"/>
          <w:szCs w:val="21"/>
        </w:rPr>
        <w:t xml:space="preserve">66.  </w:t>
      </w:r>
      <w:r>
        <w:rPr>
          <w:rFonts w:eastAsia="Calibri" w:cs="Calibri"/>
          <w:color w:val="1A1A1A"/>
          <w:sz w:val="21"/>
          <w:szCs w:val="21"/>
        </w:rPr>
        <w:t>Network Upgrade Roadmap and the Long-Term Technical Vision</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Project Tachyon · throughput and block-time goals · the protocol's longer-run direction</w:t>
      </w:r>
    </w:p>
    <w:p>
      <w:pPr>
        <w:pStyle w:val="Normal"/>
        <w:tabs>
          <w:tab w:val="clear" w:pos="720"/>
          <w:tab w:val="right" w:pos="9026" w:leader="dot"/>
        </w:tabs>
        <w:spacing w:before="0" w:after="40"/>
        <w:rPr/>
      </w:pPr>
      <w:r>
        <w:rPr>
          <w:rFonts w:eastAsia="Calibri" w:cs="Calibri"/>
          <w:b/>
          <w:bCs/>
          <w:color w:val="8A6D3B"/>
          <w:sz w:val="21"/>
          <w:szCs w:val="21"/>
        </w:rPr>
        <w:t xml:space="preserve">67.  </w:t>
      </w:r>
      <w:r>
        <w:rPr>
          <w:rFonts w:eastAsia="Calibri" w:cs="Calibri"/>
          <w:color w:val="1A1A1A"/>
          <w:sz w:val="21"/>
          <w:szCs w:val="21"/>
        </w:rPr>
        <w:t>Scenarios for Belgian Adoption Over the Next Decade</w:t>
      </w:r>
      <w:r>
        <w:rPr>
          <w:rFonts w:eastAsia="Calibri" w:cs="Calibri"/>
          <w:color w:val="5B5B5B"/>
          <w:sz w:val="21"/>
          <w:szCs w:val="21"/>
        </w:rPr>
        <w:tab/>
        <w:t>7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deliberately hedged scenarios for how Belgian users, businesses, and the local community might evolve as regulation and infrastructure mature</w:t>
      </w:r>
    </w:p>
    <w:p>
      <w:pPr>
        <w:pStyle w:val="Normal"/>
        <w:tabs>
          <w:tab w:val="clear" w:pos="720"/>
          <w:tab w:val="right" w:pos="9026" w:leader="dot"/>
        </w:tabs>
        <w:spacing w:before="0" w:after="40"/>
        <w:rPr/>
      </w:pPr>
      <w:r>
        <w:rPr>
          <w:rFonts w:eastAsia="Calibri" w:cs="Calibri"/>
          <w:b/>
          <w:bCs/>
          <w:color w:val="8A6D3B"/>
          <w:sz w:val="21"/>
          <w:szCs w:val="21"/>
        </w:rPr>
        <w:t xml:space="preserve">68.  </w:t>
      </w:r>
      <w:r>
        <w:rPr>
          <w:rFonts w:eastAsia="Calibri" w:cs="Calibri"/>
          <w:color w:val="1A1A1A"/>
          <w:sz w:val="21"/>
          <w:szCs w:val="21"/>
        </w:rPr>
        <w:t>Closing Thoughts: Prove What Needs Proving</w:t>
      </w:r>
      <w:r>
        <w:rPr>
          <w:rFonts w:eastAsia="Calibri" w:cs="Calibri"/>
          <w:color w:val="5B5B5B"/>
          <w:sz w:val="21"/>
          <w:szCs w:val="21"/>
        </w:rPr>
        <w:tab/>
        <w:t>6 pp.</w:t>
      </w:r>
    </w:p>
    <w:p>
      <w:pPr>
        <w:pStyle w:val="Normal"/>
        <w:spacing w:before="0" w:after="140"/>
        <w:ind w:start="360"/>
        <w:rPr/>
      </w:pPr>
      <w:r>
        <w:rPr>
          <w:rFonts w:eastAsia="Calibri" w:cs="Calibri"/>
          <w:b/>
          <w:bCs/>
          <w:i/>
          <w:iCs/>
          <w:color w:val="8A6D3B"/>
          <w:sz w:val="18"/>
          <w:szCs w:val="18"/>
        </w:rPr>
        <w:t xml:space="preserve">Covers: </w:t>
      </w:r>
      <w:r>
        <w:rPr>
          <w:rFonts w:eastAsia="Calibri" w:cs="Calibri"/>
          <w:i/>
          <w:iCs/>
          <w:color w:val="5B5B5B"/>
          <w:sz w:val="18"/>
          <w:szCs w:val="18"/>
        </w:rPr>
        <w:t>a final synthesis returning to the book's organising idea — selective, provable transparency — and what each reader should take away depending on which parts brought them here</w:t>
      </w:r>
      <w:r>
        <w:br w:type="page"/>
      </w:r>
    </w:p>
    <w:p>
      <w:pPr>
        <w:pStyle w:val="Heading1"/>
        <w:spacing w:before="480" w:after="200"/>
        <w:rPr/>
      </w:pPr>
      <w:r>
        <w:rPr>
          <w:rFonts w:eastAsia="Georgia" w:cs="Georgia" w:ascii="Georgia" w:hAnsi="Georgia"/>
          <w:b/>
          <w:bCs/>
          <w:color w:val="1A1A1A"/>
          <w:sz w:val="32"/>
          <w:szCs w:val="32"/>
        </w:rPr>
        <w:t>Appendix A — Glossary of Terms</w:t>
      </w:r>
    </w:p>
    <w:p>
      <w:pPr>
        <w:pStyle w:val="Normal"/>
        <w:spacing w:lineRule="auto" w:line="300" w:before="0" w:after="160"/>
        <w:jc w:val="both"/>
        <w:rPr/>
      </w:pPr>
      <w:r>
        <w:rPr>
          <w:rFonts w:eastAsia="Calibri" w:cs="Calibri"/>
          <w:i w:val="false"/>
          <w:iCs w:val="false"/>
          <w:color w:val="1A1A1A"/>
          <w:sz w:val="21"/>
          <w:szCs w:val="21"/>
        </w:rPr>
        <w:t>Terms are grouped by domain for reference. Every term below is bolded at first use in the body of the book.</w:t>
      </w:r>
    </w:p>
    <w:p>
      <w:pPr>
        <w:pStyle w:val="Heading2"/>
        <w:spacing w:before="320" w:after="140"/>
        <w:rPr/>
      </w:pPr>
      <w:r>
        <w:rPr>
          <w:rFonts w:eastAsia="Georgia" w:cs="Georgia" w:ascii="Georgia" w:hAnsi="Georgia"/>
          <w:b/>
          <w:bCs/>
          <w:color w:val="8A6D3B"/>
          <w:sz w:val="24"/>
          <w:szCs w:val="24"/>
        </w:rPr>
        <w:t>Cryptography &amp; Zcash Protocol</w:t>
      </w:r>
    </w:p>
    <w:p>
      <w:pPr>
        <w:pStyle w:val="Normal"/>
        <w:spacing w:before="0" w:after="120"/>
        <w:rPr/>
      </w:pPr>
      <w:r>
        <w:rPr>
          <w:rFonts w:eastAsia="Calibri" w:cs="Calibri"/>
          <w:b/>
          <w:bCs/>
          <w:color w:val="1A1A1A"/>
          <w:sz w:val="20"/>
          <w:szCs w:val="20"/>
        </w:rPr>
        <w:t xml:space="preserve">Zero-knowledge proof — </w:t>
      </w:r>
      <w:r>
        <w:rPr>
          <w:rFonts w:eastAsia="Calibri" w:cs="Calibri"/>
          <w:color w:val="1A1A1A"/>
          <w:sz w:val="20"/>
          <w:szCs w:val="20"/>
        </w:rPr>
        <w:t>A cryptographic method allowing one party to prove a statement is true without revealing any information beyond the fact that it is true.</w:t>
      </w:r>
    </w:p>
    <w:p>
      <w:pPr>
        <w:pStyle w:val="Normal"/>
        <w:spacing w:before="0" w:after="120"/>
        <w:rPr/>
      </w:pPr>
      <w:r>
        <w:rPr>
          <w:rFonts w:eastAsia="Calibri" w:cs="Calibri"/>
          <w:b/>
          <w:bCs/>
          <w:color w:val="1A1A1A"/>
          <w:sz w:val="20"/>
          <w:szCs w:val="20"/>
        </w:rPr>
        <w:t xml:space="preserve">zk-SNARK — </w:t>
      </w:r>
      <w:r>
        <w:rPr>
          <w:rFonts w:eastAsia="Calibri" w:cs="Calibri"/>
          <w:color w:val="1A1A1A"/>
          <w:sz w:val="20"/>
          <w:szCs w:val="20"/>
        </w:rPr>
        <w:t>'Zero-Knowledge Succinct Non-Interactive Argument of Knowledge' — the specific proof system Zcash uses to validate shielded transactions.</w:t>
      </w:r>
    </w:p>
    <w:p>
      <w:pPr>
        <w:pStyle w:val="Normal"/>
        <w:spacing w:before="0" w:after="120"/>
        <w:rPr/>
      </w:pPr>
      <w:r>
        <w:rPr>
          <w:rFonts w:eastAsia="Calibri" w:cs="Calibri"/>
          <w:b/>
          <w:bCs/>
          <w:color w:val="1A1A1A"/>
          <w:sz w:val="20"/>
          <w:szCs w:val="20"/>
        </w:rPr>
        <w:t xml:space="preserve">zk-STARK — </w:t>
      </w:r>
      <w:r>
        <w:rPr>
          <w:rFonts w:eastAsia="Calibri" w:cs="Calibri"/>
          <w:color w:val="1A1A1A"/>
          <w:sz w:val="20"/>
          <w:szCs w:val="20"/>
        </w:rPr>
        <w:t>A proof system similar in purpose to a zk-SNARK but based on different mathematical assumptions, notably avoiding a trusted setup and offering post-quantum-resistant properties, used by some other blockchain projects.</w:t>
      </w:r>
    </w:p>
    <w:p>
      <w:pPr>
        <w:pStyle w:val="Normal"/>
        <w:spacing w:before="0" w:after="120"/>
        <w:rPr/>
      </w:pPr>
      <w:r>
        <w:rPr>
          <w:rFonts w:eastAsia="Calibri" w:cs="Calibri"/>
          <w:b/>
          <w:bCs/>
          <w:color w:val="1A1A1A"/>
          <w:sz w:val="20"/>
          <w:szCs w:val="20"/>
        </w:rPr>
        <w:t xml:space="preserve">Halo 2 — </w:t>
      </w:r>
      <w:r>
        <w:rPr>
          <w:rFonts w:eastAsia="Calibri" w:cs="Calibri"/>
          <w:color w:val="1A1A1A"/>
          <w:sz w:val="20"/>
          <w:szCs w:val="20"/>
        </w:rPr>
        <w:t>The proof system Zcash adopted with the Orchard shielded pool, notable for removing the need for a trusted setup ceremony.</w:t>
      </w:r>
    </w:p>
    <w:p>
      <w:pPr>
        <w:pStyle w:val="Normal"/>
        <w:spacing w:before="0" w:after="120"/>
        <w:rPr/>
      </w:pPr>
      <w:r>
        <w:rPr>
          <w:rFonts w:eastAsia="Calibri" w:cs="Calibri"/>
          <w:b/>
          <w:bCs/>
          <w:color w:val="1A1A1A"/>
          <w:sz w:val="20"/>
          <w:szCs w:val="20"/>
        </w:rPr>
        <w:t xml:space="preserve">Trusted setup — </w:t>
      </w:r>
      <w:r>
        <w:rPr>
          <w:rFonts w:eastAsia="Calibri" w:cs="Calibri"/>
          <w:color w:val="1A1A1A"/>
          <w:sz w:val="20"/>
          <w:szCs w:val="20"/>
        </w:rPr>
        <w:t>A one-time cryptographic ceremony required by earlier proof systems to generate public parameters; resolved by later upgrades.</w:t>
      </w:r>
    </w:p>
    <w:p>
      <w:pPr>
        <w:pStyle w:val="Normal"/>
        <w:spacing w:before="0" w:after="120"/>
        <w:rPr/>
      </w:pPr>
      <w:r>
        <w:rPr>
          <w:rFonts w:eastAsia="Calibri" w:cs="Calibri"/>
          <w:b/>
          <w:bCs/>
          <w:color w:val="1A1A1A"/>
          <w:sz w:val="20"/>
          <w:szCs w:val="20"/>
        </w:rPr>
        <w:t xml:space="preserve">Sapling — </w:t>
      </w:r>
      <w:r>
        <w:rPr>
          <w:rFonts w:eastAsia="Calibri" w:cs="Calibri"/>
          <w:color w:val="1A1A1A"/>
          <w:sz w:val="20"/>
          <w:szCs w:val="20"/>
        </w:rPr>
        <w:t>The 2018 network upgrade that made shielded transactions dramatically faster and cheaper.</w:t>
      </w:r>
    </w:p>
    <w:p>
      <w:pPr>
        <w:pStyle w:val="Normal"/>
        <w:spacing w:before="0" w:after="120"/>
        <w:rPr/>
      </w:pPr>
      <w:r>
        <w:rPr>
          <w:rFonts w:eastAsia="Calibri" w:cs="Calibri"/>
          <w:b/>
          <w:bCs/>
          <w:color w:val="1A1A1A"/>
          <w:sz w:val="20"/>
          <w:szCs w:val="20"/>
        </w:rPr>
        <w:t xml:space="preserve">Orchard — </w:t>
      </w:r>
      <w:r>
        <w:rPr>
          <w:rFonts w:eastAsia="Calibri" w:cs="Calibri"/>
          <w:color w:val="1A1A1A"/>
          <w:sz w:val="20"/>
          <w:szCs w:val="20"/>
        </w:rPr>
        <w:t>The shielded pool introduced with Zcash's 2020 upgrade, later found to contain the vulnerability disclosed in 2026 and retired by the Ironwood upgrade.</w:t>
      </w:r>
    </w:p>
    <w:p>
      <w:pPr>
        <w:pStyle w:val="Normal"/>
        <w:spacing w:before="0" w:after="120"/>
        <w:rPr/>
      </w:pPr>
      <w:r>
        <w:rPr>
          <w:rFonts w:eastAsia="Calibri" w:cs="Calibri"/>
          <w:b/>
          <w:bCs/>
          <w:color w:val="1A1A1A"/>
          <w:sz w:val="20"/>
          <w:szCs w:val="20"/>
        </w:rPr>
        <w:t xml:space="preserve">Ironwood — </w:t>
      </w:r>
      <w:r>
        <w:rPr>
          <w:rFonts w:eastAsia="Calibri" w:cs="Calibri"/>
          <w:color w:val="1A1A1A"/>
          <w:sz w:val="20"/>
          <w:szCs w:val="20"/>
        </w:rPr>
        <w:t>The 2026 network upgrade (NU6.3) that retired the Orchard pool and introduced a new shielded pool with a supply-capping turnstile mechanism.</w:t>
      </w:r>
    </w:p>
    <w:p>
      <w:pPr>
        <w:pStyle w:val="Normal"/>
        <w:spacing w:before="0" w:after="120"/>
        <w:rPr/>
      </w:pPr>
      <w:r>
        <w:rPr>
          <w:rFonts w:eastAsia="Calibri" w:cs="Calibri"/>
          <w:b/>
          <w:bCs/>
          <w:color w:val="1A1A1A"/>
          <w:sz w:val="20"/>
          <w:szCs w:val="20"/>
        </w:rPr>
        <w:t xml:space="preserve">Turnstile mechanism — </w:t>
      </w:r>
      <w:r>
        <w:rPr>
          <w:rFonts w:eastAsia="Calibri" w:cs="Calibri"/>
          <w:color w:val="1A1A1A"/>
          <w:sz w:val="20"/>
          <w:szCs w:val="20"/>
        </w:rPr>
        <w:t>A protocol-level control limiting how much value can exit a shielded pool to no more than was verifiably deposited into it.</w:t>
      </w:r>
    </w:p>
    <w:p>
      <w:pPr>
        <w:pStyle w:val="Normal"/>
        <w:spacing w:before="0" w:after="120"/>
        <w:rPr/>
      </w:pPr>
      <w:r>
        <w:rPr>
          <w:rFonts w:eastAsia="Calibri" w:cs="Calibri"/>
          <w:b/>
          <w:bCs/>
          <w:color w:val="1A1A1A"/>
          <w:sz w:val="20"/>
          <w:szCs w:val="20"/>
        </w:rPr>
        <w:t xml:space="preserve">Transparent address (t-address) — </w:t>
      </w:r>
      <w:r>
        <w:rPr>
          <w:rFonts w:eastAsia="Calibri" w:cs="Calibri"/>
          <w:color w:val="1A1A1A"/>
          <w:sz w:val="20"/>
          <w:szCs w:val="20"/>
        </w:rPr>
        <w:t>A Zcash address whose balance and transaction history are publicly visible, functioning like a Bitcoin address.</w:t>
      </w:r>
    </w:p>
    <w:p>
      <w:pPr>
        <w:pStyle w:val="Normal"/>
        <w:spacing w:before="0" w:after="120"/>
        <w:rPr/>
      </w:pPr>
      <w:r>
        <w:rPr>
          <w:rFonts w:eastAsia="Calibri" w:cs="Calibri"/>
          <w:b/>
          <w:bCs/>
          <w:color w:val="1A1A1A"/>
          <w:sz w:val="20"/>
          <w:szCs w:val="20"/>
        </w:rPr>
        <w:t xml:space="preserve">Shielded address (z-address) — </w:t>
      </w:r>
      <w:r>
        <w:rPr>
          <w:rFonts w:eastAsia="Calibri" w:cs="Calibri"/>
          <w:color w:val="1A1A1A"/>
          <w:sz w:val="20"/>
          <w:szCs w:val="20"/>
        </w:rPr>
        <w:t>A Zcash address that encrypts the sender, receiver, and amount of a transaction using a zero-knowledge proof.</w:t>
      </w:r>
    </w:p>
    <w:p>
      <w:pPr>
        <w:pStyle w:val="Normal"/>
        <w:spacing w:before="0" w:after="120"/>
        <w:rPr/>
      </w:pPr>
      <w:r>
        <w:rPr>
          <w:rFonts w:eastAsia="Calibri" w:cs="Calibri"/>
          <w:b/>
          <w:bCs/>
          <w:color w:val="1A1A1A"/>
          <w:sz w:val="20"/>
          <w:szCs w:val="20"/>
        </w:rPr>
        <w:t xml:space="preserve">Unified Address — </w:t>
      </w:r>
      <w:r>
        <w:rPr>
          <w:rFonts w:eastAsia="Calibri" w:cs="Calibri"/>
          <w:color w:val="1A1A1A"/>
          <w:sz w:val="20"/>
          <w:szCs w:val="20"/>
        </w:rPr>
        <w:t>A single address format that can receive both transparent and shielded payments.</w:t>
      </w:r>
    </w:p>
    <w:p>
      <w:pPr>
        <w:pStyle w:val="Normal"/>
        <w:spacing w:before="0" w:after="120"/>
        <w:rPr/>
      </w:pPr>
      <w:r>
        <w:rPr>
          <w:rFonts w:eastAsia="Calibri" w:cs="Calibri"/>
          <w:b/>
          <w:bCs/>
          <w:color w:val="1A1A1A"/>
          <w:sz w:val="20"/>
          <w:szCs w:val="20"/>
        </w:rPr>
        <w:t xml:space="preserve">Viewing key — </w:t>
      </w:r>
      <w:r>
        <w:rPr>
          <w:rFonts w:eastAsia="Calibri" w:cs="Calibri"/>
          <w:color w:val="1A1A1A"/>
          <w:sz w:val="20"/>
          <w:szCs w:val="20"/>
        </w:rPr>
        <w:t>A cryptographic key allowing a third party to view specified transaction details without granting spending control.</w:t>
      </w:r>
    </w:p>
    <w:p>
      <w:pPr>
        <w:pStyle w:val="Normal"/>
        <w:spacing w:before="0" w:after="120"/>
        <w:rPr/>
      </w:pPr>
      <w:r>
        <w:rPr>
          <w:rFonts w:eastAsia="Calibri" w:cs="Calibri"/>
          <w:b/>
          <w:bCs/>
          <w:color w:val="1A1A1A"/>
          <w:sz w:val="20"/>
          <w:szCs w:val="20"/>
        </w:rPr>
        <w:t xml:space="preserve">Equihash — </w:t>
      </w:r>
      <w:r>
        <w:rPr>
          <w:rFonts w:eastAsia="Calibri" w:cs="Calibri"/>
          <w:color w:val="1A1A1A"/>
          <w:sz w:val="20"/>
          <w:szCs w:val="20"/>
        </w:rPr>
        <w:t>The proof-of-work algorithm used to secure the Zcash network and validate new blocks.</w:t>
      </w:r>
    </w:p>
    <w:p>
      <w:pPr>
        <w:pStyle w:val="Normal"/>
        <w:spacing w:before="0" w:after="120"/>
        <w:rPr/>
      </w:pPr>
      <w:r>
        <w:rPr>
          <w:rFonts w:eastAsia="Calibri" w:cs="Calibri"/>
          <w:b/>
          <w:bCs/>
          <w:color w:val="1A1A1A"/>
          <w:sz w:val="20"/>
          <w:szCs w:val="20"/>
        </w:rPr>
        <w:t xml:space="preserve">Anonymity set — </w:t>
      </w:r>
      <w:r>
        <w:rPr>
          <w:rFonts w:eastAsia="Calibri" w:cs="Calibri"/>
          <w:color w:val="1A1A1A"/>
          <w:sz w:val="20"/>
          <w:szCs w:val="20"/>
        </w:rPr>
        <w:t>The pool of other shielded transactions a given transaction is indistinguishable from; a larger set means stronger practical privacy.</w:t>
      </w:r>
    </w:p>
    <w:p>
      <w:pPr>
        <w:pStyle w:val="Normal"/>
        <w:spacing w:before="0" w:after="120"/>
        <w:rPr/>
      </w:pPr>
      <w:r>
        <w:rPr>
          <w:rFonts w:eastAsia="Calibri" w:cs="Calibri"/>
          <w:b/>
          <w:bCs/>
          <w:color w:val="1A1A1A"/>
          <w:sz w:val="20"/>
          <w:szCs w:val="20"/>
        </w:rPr>
        <w:t xml:space="preserve">Full node — </w:t>
      </w:r>
      <w:r>
        <w:rPr>
          <w:rFonts w:eastAsia="Calibri" w:cs="Calibri"/>
          <w:color w:val="1A1A1A"/>
          <w:sz w:val="20"/>
          <w:szCs w:val="20"/>
        </w:rPr>
        <w:t>Software that independently validates every block and transaction against the network's consensus rules.</w:t>
      </w:r>
    </w:p>
    <w:p>
      <w:pPr>
        <w:pStyle w:val="Normal"/>
        <w:spacing w:before="0" w:after="120"/>
        <w:rPr/>
      </w:pPr>
      <w:r>
        <w:rPr>
          <w:rFonts w:eastAsia="Calibri" w:cs="Calibri"/>
          <w:b/>
          <w:bCs/>
          <w:color w:val="1A1A1A"/>
          <w:sz w:val="20"/>
          <w:szCs w:val="20"/>
        </w:rPr>
        <w:t xml:space="preserve">Zebra — </w:t>
      </w:r>
      <w:r>
        <w:rPr>
          <w:rFonts w:eastAsia="Calibri" w:cs="Calibri"/>
          <w:color w:val="1A1A1A"/>
          <w:sz w:val="20"/>
          <w:szCs w:val="20"/>
        </w:rPr>
        <w:t>The Rust-language full-node implementation that succeeded the original zcashd client.</w:t>
      </w:r>
    </w:p>
    <w:p>
      <w:pPr>
        <w:pStyle w:val="Heading2"/>
        <w:spacing w:before="320" w:after="140"/>
        <w:rPr/>
      </w:pPr>
      <w:r>
        <w:rPr>
          <w:rFonts w:eastAsia="Georgia" w:cs="Georgia" w:ascii="Georgia" w:hAnsi="Georgia"/>
          <w:b/>
          <w:bCs/>
          <w:color w:val="8A6D3B"/>
          <w:sz w:val="24"/>
          <w:szCs w:val="24"/>
        </w:rPr>
        <w:t>Broader Cryptocurrency &amp; Security</w:t>
      </w:r>
    </w:p>
    <w:p>
      <w:pPr>
        <w:pStyle w:val="Normal"/>
        <w:spacing w:before="0" w:after="120"/>
        <w:rPr/>
      </w:pPr>
      <w:r>
        <w:rPr>
          <w:rFonts w:eastAsia="Calibri" w:cs="Calibri"/>
          <w:b/>
          <w:bCs/>
          <w:color w:val="1A1A1A"/>
          <w:sz w:val="20"/>
          <w:szCs w:val="20"/>
        </w:rPr>
        <w:t xml:space="preserve">51% attack — </w:t>
      </w:r>
      <w:r>
        <w:rPr>
          <w:rFonts w:eastAsia="Calibri" w:cs="Calibri"/>
          <w:color w:val="1A1A1A"/>
          <w:sz w:val="20"/>
          <w:szCs w:val="20"/>
        </w:rPr>
        <w:t>A scenario in which a single entity controls a majority of a network's mining or staking power, potentially allowing it to reverse transactions or block others.</w:t>
      </w:r>
    </w:p>
    <w:p>
      <w:pPr>
        <w:pStyle w:val="Normal"/>
        <w:spacing w:before="0" w:after="120"/>
        <w:rPr/>
      </w:pPr>
      <w:r>
        <w:rPr>
          <w:rFonts w:eastAsia="Calibri" w:cs="Calibri"/>
          <w:b/>
          <w:bCs/>
          <w:color w:val="1A1A1A"/>
          <w:sz w:val="20"/>
          <w:szCs w:val="20"/>
        </w:rPr>
        <w:t xml:space="preserve">Sybil attack — </w:t>
      </w:r>
      <w:r>
        <w:rPr>
          <w:rFonts w:eastAsia="Calibri" w:cs="Calibri"/>
          <w:color w:val="1A1A1A"/>
          <w:sz w:val="20"/>
          <w:szCs w:val="20"/>
        </w:rPr>
        <w:t>An attack in which one party creates many fake network identities to gain disproportionate influence.</w:t>
      </w:r>
    </w:p>
    <w:p>
      <w:pPr>
        <w:pStyle w:val="Normal"/>
        <w:spacing w:before="0" w:after="120"/>
        <w:rPr/>
      </w:pPr>
      <w:r>
        <w:rPr>
          <w:rFonts w:eastAsia="Calibri" w:cs="Calibri"/>
          <w:b/>
          <w:bCs/>
          <w:color w:val="1A1A1A"/>
          <w:sz w:val="20"/>
          <w:szCs w:val="20"/>
        </w:rPr>
        <w:t xml:space="preserve">Eclipse attack — </w:t>
      </w:r>
      <w:r>
        <w:rPr>
          <w:rFonts w:eastAsia="Calibri" w:cs="Calibri"/>
          <w:color w:val="1A1A1A"/>
          <w:sz w:val="20"/>
          <w:szCs w:val="20"/>
        </w:rPr>
        <w:t>An attack that isolates a specific node from the honest network by surrounding it with attacker-controlled peers.</w:t>
      </w:r>
    </w:p>
    <w:p>
      <w:pPr>
        <w:pStyle w:val="Normal"/>
        <w:spacing w:before="0" w:after="120"/>
        <w:rPr/>
      </w:pPr>
      <w:r>
        <w:rPr>
          <w:rFonts w:eastAsia="Calibri" w:cs="Calibri"/>
          <w:b/>
          <w:bCs/>
          <w:color w:val="1A1A1A"/>
          <w:sz w:val="20"/>
          <w:szCs w:val="20"/>
        </w:rPr>
        <w:t xml:space="preserve">Byzantine fault tolerance (BFT) — </w:t>
      </w:r>
      <w:r>
        <w:rPr>
          <w:rFonts w:eastAsia="Calibri" w:cs="Calibri"/>
          <w:color w:val="1A1A1A"/>
          <w:sz w:val="20"/>
          <w:szCs w:val="20"/>
        </w:rPr>
        <w:t>The property of a consensus system that allows it to function correctly even if some participants act dishonestly or fail.</w:t>
      </w:r>
    </w:p>
    <w:p>
      <w:pPr>
        <w:pStyle w:val="Normal"/>
        <w:spacing w:before="0" w:after="120"/>
        <w:rPr/>
      </w:pPr>
      <w:r>
        <w:rPr>
          <w:rFonts w:eastAsia="Calibri" w:cs="Calibri"/>
          <w:b/>
          <w:bCs/>
          <w:color w:val="1A1A1A"/>
          <w:sz w:val="20"/>
          <w:szCs w:val="20"/>
        </w:rPr>
        <w:t xml:space="preserve">Ring signature — </w:t>
      </w:r>
      <w:r>
        <w:rPr>
          <w:rFonts w:eastAsia="Calibri" w:cs="Calibri"/>
          <w:color w:val="1A1A1A"/>
          <w:sz w:val="20"/>
          <w:szCs w:val="20"/>
        </w:rPr>
        <w:t>A cryptographic signature that could have been produced by any member of a group, used by Monero to obscure the true sender.</w:t>
      </w:r>
    </w:p>
    <w:p>
      <w:pPr>
        <w:pStyle w:val="Normal"/>
        <w:spacing w:before="0" w:after="120"/>
        <w:rPr/>
      </w:pPr>
      <w:r>
        <w:rPr>
          <w:rFonts w:eastAsia="Calibri" w:cs="Calibri"/>
          <w:b/>
          <w:bCs/>
          <w:color w:val="1A1A1A"/>
          <w:sz w:val="20"/>
          <w:szCs w:val="20"/>
        </w:rPr>
        <w:t xml:space="preserve">Stealth address — </w:t>
      </w:r>
      <w:r>
        <w:rPr>
          <w:rFonts w:eastAsia="Calibri" w:cs="Calibri"/>
          <w:color w:val="1A1A1A"/>
          <w:sz w:val="20"/>
          <w:szCs w:val="20"/>
        </w:rPr>
        <w:t>A one-time address generated for each transaction so that payments to the same recipient cannot be linked on-chain.</w:t>
      </w:r>
    </w:p>
    <w:p>
      <w:pPr>
        <w:pStyle w:val="Normal"/>
        <w:spacing w:before="0" w:after="120"/>
        <w:rPr/>
      </w:pPr>
      <w:r>
        <w:rPr>
          <w:rFonts w:eastAsia="Calibri" w:cs="Calibri"/>
          <w:b/>
          <w:bCs/>
          <w:color w:val="1A1A1A"/>
          <w:sz w:val="20"/>
          <w:szCs w:val="20"/>
        </w:rPr>
        <w:t xml:space="preserve">CoinJoin — </w:t>
      </w:r>
      <w:r>
        <w:rPr>
          <w:rFonts w:eastAsia="Calibri" w:cs="Calibri"/>
          <w:color w:val="1A1A1A"/>
          <w:sz w:val="20"/>
          <w:szCs w:val="20"/>
        </w:rPr>
        <w:t>A transaction-mixing technique that combines multiple users' payments into one transaction to obscure which input paid which output.</w:t>
      </w:r>
    </w:p>
    <w:p>
      <w:pPr>
        <w:pStyle w:val="Normal"/>
        <w:spacing w:before="0" w:after="120"/>
        <w:rPr/>
      </w:pPr>
      <w:r>
        <w:rPr>
          <w:rFonts w:eastAsia="Calibri" w:cs="Calibri"/>
          <w:b/>
          <w:bCs/>
          <w:color w:val="1A1A1A"/>
          <w:sz w:val="20"/>
          <w:szCs w:val="20"/>
        </w:rPr>
        <w:t xml:space="preserve">Mimblewimble — </w:t>
      </w:r>
      <w:r>
        <w:rPr>
          <w:rFonts w:eastAsia="Calibri" w:cs="Calibri"/>
          <w:color w:val="1A1A1A"/>
          <w:sz w:val="20"/>
          <w:szCs w:val="20"/>
        </w:rPr>
        <w:t>A blockchain protocol design (used by Grin and others) that achieves privacy and scalability by cutting out spent transaction data entirely.</w:t>
      </w:r>
    </w:p>
    <w:p>
      <w:pPr>
        <w:pStyle w:val="Normal"/>
        <w:spacing w:before="0" w:after="120"/>
        <w:rPr/>
      </w:pPr>
      <w:r>
        <w:rPr>
          <w:rFonts w:eastAsia="Calibri" w:cs="Calibri"/>
          <w:b/>
          <w:bCs/>
          <w:color w:val="1A1A1A"/>
          <w:sz w:val="20"/>
          <w:szCs w:val="20"/>
        </w:rPr>
        <w:t xml:space="preserve">Confidential Transactions — </w:t>
      </w:r>
      <w:r>
        <w:rPr>
          <w:rFonts w:eastAsia="Calibri" w:cs="Calibri"/>
          <w:color w:val="1A1A1A"/>
          <w:sz w:val="20"/>
          <w:szCs w:val="20"/>
        </w:rPr>
        <w:t>A technique that hides transaction amounts on a public ledger while still allowing the network to verify no coins were created from nothing.</w:t>
      </w:r>
    </w:p>
    <w:p>
      <w:pPr>
        <w:pStyle w:val="Normal"/>
        <w:spacing w:before="0" w:after="120"/>
        <w:rPr/>
      </w:pPr>
      <w:r>
        <w:rPr>
          <w:rFonts w:eastAsia="Calibri" w:cs="Calibri"/>
          <w:b/>
          <w:bCs/>
          <w:color w:val="1A1A1A"/>
          <w:sz w:val="20"/>
          <w:szCs w:val="20"/>
        </w:rPr>
        <w:t xml:space="preserve">Reentrancy — </w:t>
      </w:r>
      <w:r>
        <w:rPr>
          <w:rFonts w:eastAsia="Calibri" w:cs="Calibri"/>
          <w:color w:val="1A1A1A"/>
          <w:sz w:val="20"/>
          <w:szCs w:val="20"/>
        </w:rPr>
        <w:t>A smart-contract vulnerability class in which a malicious contract re-enters a function before its first execution completes.</w:t>
      </w:r>
    </w:p>
    <w:p>
      <w:pPr>
        <w:pStyle w:val="Normal"/>
        <w:spacing w:before="0" w:after="120"/>
        <w:rPr/>
      </w:pPr>
      <w:r>
        <w:rPr>
          <w:rFonts w:eastAsia="Calibri" w:cs="Calibri"/>
          <w:b/>
          <w:bCs/>
          <w:color w:val="1A1A1A"/>
          <w:sz w:val="20"/>
          <w:szCs w:val="20"/>
        </w:rPr>
        <w:t xml:space="preserve">Oracle manipulation — </w:t>
      </w:r>
      <w:r>
        <w:rPr>
          <w:rFonts w:eastAsia="Calibri" w:cs="Calibri"/>
          <w:color w:val="1A1A1A"/>
          <w:sz w:val="20"/>
          <w:szCs w:val="20"/>
        </w:rPr>
        <w:t>An attack that exploits a smart contract's reliance on external price or data feeds by manipulating those feeds.</w:t>
      </w:r>
    </w:p>
    <w:p>
      <w:pPr>
        <w:pStyle w:val="Normal"/>
        <w:spacing w:before="0" w:after="120"/>
        <w:rPr/>
      </w:pPr>
      <w:r>
        <w:rPr>
          <w:rFonts w:eastAsia="Calibri" w:cs="Calibri"/>
          <w:b/>
          <w:bCs/>
          <w:color w:val="1A1A1A"/>
          <w:sz w:val="20"/>
          <w:szCs w:val="20"/>
        </w:rPr>
        <w:t xml:space="preserve">Multi-party computation (MPC) — </w:t>
      </w:r>
      <w:r>
        <w:rPr>
          <w:rFonts w:eastAsia="Calibri" w:cs="Calibri"/>
          <w:color w:val="1A1A1A"/>
          <w:sz w:val="20"/>
          <w:szCs w:val="20"/>
        </w:rPr>
        <w:t>A cryptographic technique allowing several parties to jointly compute a function (such as signing a transaction) without any one party holding the complete secret.</w:t>
      </w:r>
    </w:p>
    <w:p>
      <w:pPr>
        <w:pStyle w:val="Normal"/>
        <w:spacing w:before="0" w:after="120"/>
        <w:rPr/>
      </w:pPr>
      <w:r>
        <w:rPr>
          <w:rFonts w:eastAsia="Calibri" w:cs="Calibri"/>
          <w:b/>
          <w:bCs/>
          <w:color w:val="1A1A1A"/>
          <w:sz w:val="20"/>
          <w:szCs w:val="20"/>
        </w:rPr>
        <w:t xml:space="preserve">Post-quantum cryptography — </w:t>
      </w:r>
      <w:r>
        <w:rPr>
          <w:rFonts w:eastAsia="Calibri" w:cs="Calibri"/>
          <w:color w:val="1A1A1A"/>
          <w:sz w:val="20"/>
          <w:szCs w:val="20"/>
        </w:rPr>
        <w:t>Cryptographic algorithms designed to remain secure against attacks from sufficiently powerful quantum computers.</w:t>
      </w:r>
    </w:p>
    <w:p>
      <w:pPr>
        <w:pStyle w:val="Normal"/>
        <w:spacing w:before="0" w:after="120"/>
        <w:rPr/>
      </w:pPr>
      <w:r>
        <w:rPr>
          <w:rFonts w:eastAsia="Calibri" w:cs="Calibri"/>
          <w:b/>
          <w:bCs/>
          <w:color w:val="1A1A1A"/>
          <w:sz w:val="20"/>
          <w:szCs w:val="20"/>
        </w:rPr>
        <w:t xml:space="preserve">Hash-based signature — </w:t>
      </w:r>
      <w:r>
        <w:rPr>
          <w:rFonts w:eastAsia="Calibri" w:cs="Calibri"/>
          <w:color w:val="1A1A1A"/>
          <w:sz w:val="20"/>
          <w:szCs w:val="20"/>
        </w:rPr>
        <w:t>A digital signature scheme built only from hash functions, considered a leading candidate for post-quantum security.</w:t>
      </w:r>
    </w:p>
    <w:p>
      <w:pPr>
        <w:pStyle w:val="Heading2"/>
        <w:spacing w:before="320" w:after="140"/>
        <w:rPr/>
      </w:pPr>
      <w:r>
        <w:rPr>
          <w:rFonts w:eastAsia="Georgia" w:cs="Georgia" w:ascii="Georgia" w:hAnsi="Georgia"/>
          <w:b/>
          <w:bCs/>
          <w:color w:val="8A6D3B"/>
          <w:sz w:val="24"/>
          <w:szCs w:val="24"/>
        </w:rPr>
        <w:t>Governance &amp; Development</w:t>
      </w:r>
    </w:p>
    <w:p>
      <w:pPr>
        <w:pStyle w:val="Normal"/>
        <w:spacing w:before="0" w:after="120"/>
        <w:rPr/>
      </w:pPr>
      <w:r>
        <w:rPr>
          <w:rFonts w:eastAsia="Calibri" w:cs="Calibri"/>
          <w:b/>
          <w:bCs/>
          <w:color w:val="1A1A1A"/>
          <w:sz w:val="20"/>
          <w:szCs w:val="20"/>
        </w:rPr>
        <w:t xml:space="preserve">ZIP — </w:t>
      </w:r>
      <w:r>
        <w:rPr>
          <w:rFonts w:eastAsia="Calibri" w:cs="Calibri"/>
          <w:color w:val="1A1A1A"/>
          <w:sz w:val="20"/>
          <w:szCs w:val="20"/>
        </w:rPr>
        <w:t>Zcash Improvement Proposal — the formal process by which changes to the protocol are proposed, discussed, and adopted.</w:t>
      </w:r>
    </w:p>
    <w:p>
      <w:pPr>
        <w:pStyle w:val="Normal"/>
        <w:spacing w:before="0" w:after="120"/>
        <w:rPr/>
      </w:pPr>
      <w:r>
        <w:rPr>
          <w:rFonts w:eastAsia="Calibri" w:cs="Calibri"/>
          <w:b/>
          <w:bCs/>
          <w:color w:val="1A1A1A"/>
          <w:sz w:val="20"/>
          <w:szCs w:val="20"/>
        </w:rPr>
        <w:t xml:space="preserve">BIP / EIP — </w:t>
      </w:r>
      <w:r>
        <w:rPr>
          <w:rFonts w:eastAsia="Calibri" w:cs="Calibri"/>
          <w:color w:val="1A1A1A"/>
          <w:sz w:val="20"/>
          <w:szCs w:val="20"/>
        </w:rPr>
        <w:t>Bitcoin Improvement Proposal / Ethereum Improvement Proposal — the equivalent change-proposal processes for those two networks, referenced for comparison.</w:t>
      </w:r>
    </w:p>
    <w:p>
      <w:pPr>
        <w:pStyle w:val="Normal"/>
        <w:spacing w:before="0" w:after="120"/>
        <w:rPr/>
      </w:pPr>
      <w:r>
        <w:rPr>
          <w:rFonts w:eastAsia="Calibri" w:cs="Calibri"/>
          <w:b/>
          <w:bCs/>
          <w:color w:val="1A1A1A"/>
          <w:sz w:val="20"/>
          <w:szCs w:val="20"/>
        </w:rPr>
        <w:t xml:space="preserve">Electric Coin Company (ECC) — </w:t>
      </w:r>
      <w:r>
        <w:rPr>
          <w:rFonts w:eastAsia="Calibri" w:cs="Calibri"/>
          <w:color w:val="1A1A1A"/>
          <w:sz w:val="20"/>
          <w:szCs w:val="20"/>
        </w:rPr>
        <w:t>The company founded by Zcash's original creators that leads core protocol engineering.</w:t>
      </w:r>
    </w:p>
    <w:p>
      <w:pPr>
        <w:pStyle w:val="Normal"/>
        <w:spacing w:before="0" w:after="120"/>
        <w:rPr/>
      </w:pPr>
      <w:r>
        <w:rPr>
          <w:rFonts w:eastAsia="Calibri" w:cs="Calibri"/>
          <w:b/>
          <w:bCs/>
          <w:color w:val="1A1A1A"/>
          <w:sz w:val="20"/>
          <w:szCs w:val="20"/>
        </w:rPr>
        <w:t xml:space="preserve">Zcash Foundation — </w:t>
      </w:r>
      <w:r>
        <w:rPr>
          <w:rFonts w:eastAsia="Calibri" w:cs="Calibri"/>
          <w:color w:val="1A1A1A"/>
          <w:sz w:val="20"/>
          <w:szCs w:val="20"/>
        </w:rPr>
        <w:t>An independent non-profit supporting protocol development, research, and community infrastructure.</w:t>
      </w:r>
    </w:p>
    <w:p>
      <w:pPr>
        <w:pStyle w:val="Normal"/>
        <w:spacing w:before="0" w:after="120"/>
        <w:rPr/>
      </w:pPr>
      <w:r>
        <w:rPr>
          <w:rFonts w:eastAsia="Calibri" w:cs="Calibri"/>
          <w:b/>
          <w:bCs/>
          <w:color w:val="1A1A1A"/>
          <w:sz w:val="20"/>
          <w:szCs w:val="20"/>
        </w:rPr>
        <w:t xml:space="preserve">Zcash Community Grants (ZCG) — </w:t>
      </w:r>
      <w:r>
        <w:rPr>
          <w:rFonts w:eastAsia="Calibri" w:cs="Calibri"/>
          <w:color w:val="1A1A1A"/>
          <w:sz w:val="20"/>
          <w:szCs w:val="20"/>
        </w:rPr>
        <w:t>A community-elected committee that allocates funding to independent contributors and projects.</w:t>
      </w:r>
    </w:p>
    <w:p>
      <w:pPr>
        <w:pStyle w:val="Normal"/>
        <w:spacing w:before="0" w:after="120"/>
        <w:rPr/>
      </w:pPr>
      <w:r>
        <w:rPr>
          <w:rFonts w:eastAsia="Calibri" w:cs="Calibri"/>
          <w:b/>
          <w:bCs/>
          <w:color w:val="1A1A1A"/>
          <w:sz w:val="20"/>
          <w:szCs w:val="20"/>
        </w:rPr>
        <w:t xml:space="preserve">Dev Fund — </w:t>
      </w:r>
      <w:r>
        <w:rPr>
          <w:rFonts w:eastAsia="Calibri" w:cs="Calibri"/>
          <w:color w:val="1A1A1A"/>
          <w:sz w:val="20"/>
          <w:szCs w:val="20"/>
        </w:rPr>
        <w:t>A protocol-level allocation of newly issued coins directed toward funding ongoing development.</w:t>
      </w:r>
    </w:p>
    <w:p>
      <w:pPr>
        <w:pStyle w:val="Normal"/>
        <w:spacing w:before="0" w:after="120"/>
        <w:rPr/>
      </w:pPr>
      <w:r>
        <w:rPr>
          <w:rFonts w:eastAsia="Calibri" w:cs="Calibri"/>
          <w:b/>
          <w:bCs/>
          <w:color w:val="1A1A1A"/>
          <w:sz w:val="20"/>
          <w:szCs w:val="20"/>
        </w:rPr>
        <w:t xml:space="preserve">Network Upgrade (NU) — </w:t>
      </w:r>
      <w:r>
        <w:rPr>
          <w:rFonts w:eastAsia="Calibri" w:cs="Calibri"/>
          <w:color w:val="1A1A1A"/>
          <w:sz w:val="20"/>
          <w:szCs w:val="20"/>
        </w:rPr>
        <w:t>A coordinated, scheduled change to Zcash's consensus rules, numbered sequentially (e.g., NU6.3 'Ironwood').</w:t>
      </w:r>
    </w:p>
    <w:p>
      <w:pPr>
        <w:pStyle w:val="Heading2"/>
        <w:spacing w:before="320" w:after="140"/>
        <w:rPr/>
      </w:pPr>
      <w:r>
        <w:rPr>
          <w:rFonts w:eastAsia="Georgia" w:cs="Georgia" w:ascii="Georgia" w:hAnsi="Georgia"/>
          <w:b/>
          <w:bCs/>
          <w:color w:val="8A6D3B"/>
          <w:sz w:val="24"/>
          <w:szCs w:val="24"/>
        </w:rPr>
        <w:t>Markets &amp; Investment</w:t>
      </w:r>
    </w:p>
    <w:p>
      <w:pPr>
        <w:pStyle w:val="Normal"/>
        <w:spacing w:before="0" w:after="120"/>
        <w:rPr/>
      </w:pPr>
      <w:r>
        <w:rPr>
          <w:rFonts w:eastAsia="Calibri" w:cs="Calibri"/>
          <w:b/>
          <w:bCs/>
          <w:color w:val="1A1A1A"/>
          <w:sz w:val="20"/>
          <w:szCs w:val="20"/>
        </w:rPr>
        <w:t xml:space="preserve">Market capitalisation — </w:t>
      </w:r>
      <w:r>
        <w:rPr>
          <w:rFonts w:eastAsia="Calibri" w:cs="Calibri"/>
          <w:color w:val="1A1A1A"/>
          <w:sz w:val="20"/>
          <w:szCs w:val="20"/>
        </w:rPr>
        <w:t>The total value of a cryptocurrency's circulating supply, calculated as price multiplied by circulating coins.</w:t>
      </w:r>
    </w:p>
    <w:p>
      <w:pPr>
        <w:pStyle w:val="Normal"/>
        <w:spacing w:before="0" w:after="120"/>
        <w:rPr/>
      </w:pPr>
      <w:r>
        <w:rPr>
          <w:rFonts w:eastAsia="Calibri" w:cs="Calibri"/>
          <w:b/>
          <w:bCs/>
          <w:color w:val="1A1A1A"/>
          <w:sz w:val="20"/>
          <w:szCs w:val="20"/>
        </w:rPr>
        <w:t xml:space="preserve">Circulating supply — </w:t>
      </w:r>
      <w:r>
        <w:rPr>
          <w:rFonts w:eastAsia="Calibri" w:cs="Calibri"/>
          <w:color w:val="1A1A1A"/>
          <w:sz w:val="20"/>
          <w:szCs w:val="20"/>
        </w:rPr>
        <w:t>The number of coins currently available and in public circulation, as distinct from total or maximum supply.</w:t>
      </w:r>
    </w:p>
    <w:p>
      <w:pPr>
        <w:pStyle w:val="Normal"/>
        <w:spacing w:before="0" w:after="120"/>
        <w:rPr/>
      </w:pPr>
      <w:r>
        <w:rPr>
          <w:rFonts w:eastAsia="Calibri" w:cs="Calibri"/>
          <w:b/>
          <w:bCs/>
          <w:color w:val="1A1A1A"/>
          <w:sz w:val="20"/>
          <w:szCs w:val="20"/>
        </w:rPr>
        <w:t xml:space="preserve">Fixed supply — </w:t>
      </w:r>
      <w:r>
        <w:rPr>
          <w:rFonts w:eastAsia="Calibri" w:cs="Calibri"/>
          <w:color w:val="1A1A1A"/>
          <w:sz w:val="20"/>
          <w:szCs w:val="20"/>
        </w:rPr>
        <w:t>A monetary policy in which the maximum number of coins that will ever exist is capped and known in advance.</w:t>
      </w:r>
    </w:p>
    <w:p>
      <w:pPr>
        <w:pStyle w:val="Normal"/>
        <w:spacing w:before="0" w:after="120"/>
        <w:rPr/>
      </w:pPr>
      <w:r>
        <w:rPr>
          <w:rFonts w:eastAsia="Calibri" w:cs="Calibri"/>
          <w:b/>
          <w:bCs/>
          <w:color w:val="1A1A1A"/>
          <w:sz w:val="20"/>
          <w:szCs w:val="20"/>
        </w:rPr>
        <w:t xml:space="preserve">Halving — </w:t>
      </w:r>
      <w:r>
        <w:rPr>
          <w:rFonts w:eastAsia="Calibri" w:cs="Calibri"/>
          <w:color w:val="1A1A1A"/>
          <w:sz w:val="20"/>
          <w:szCs w:val="20"/>
        </w:rPr>
        <w:t>A scheduled reduction in the rate of new coin issuance, occurring at fixed intervals.</w:t>
      </w:r>
    </w:p>
    <w:p>
      <w:pPr>
        <w:pStyle w:val="Normal"/>
        <w:spacing w:before="0" w:after="120"/>
        <w:rPr/>
      </w:pPr>
      <w:r>
        <w:rPr>
          <w:rFonts w:eastAsia="Calibri" w:cs="Calibri"/>
          <w:b/>
          <w:bCs/>
          <w:color w:val="1A1A1A"/>
          <w:sz w:val="20"/>
          <w:szCs w:val="20"/>
        </w:rPr>
        <w:t xml:space="preserve">Volatility — </w:t>
      </w:r>
      <w:r>
        <w:rPr>
          <w:rFonts w:eastAsia="Calibri" w:cs="Calibri"/>
          <w:color w:val="1A1A1A"/>
          <w:sz w:val="20"/>
          <w:szCs w:val="20"/>
        </w:rPr>
        <w:t>The degree and speed of price fluctuation in an asset over a given period.</w:t>
      </w:r>
    </w:p>
    <w:p>
      <w:pPr>
        <w:pStyle w:val="Normal"/>
        <w:spacing w:before="0" w:after="120"/>
        <w:rPr/>
      </w:pPr>
      <w:r>
        <w:rPr>
          <w:rFonts w:eastAsia="Calibri" w:cs="Calibri"/>
          <w:b/>
          <w:bCs/>
          <w:color w:val="1A1A1A"/>
          <w:sz w:val="20"/>
          <w:szCs w:val="20"/>
        </w:rPr>
        <w:t xml:space="preserve">Liquidity — </w:t>
      </w:r>
      <w:r>
        <w:rPr>
          <w:rFonts w:eastAsia="Calibri" w:cs="Calibri"/>
          <w:color w:val="1A1A1A"/>
          <w:sz w:val="20"/>
          <w:szCs w:val="20"/>
        </w:rPr>
        <w:t>How easily an asset can be bought or sold without materially moving its price.</w:t>
      </w:r>
    </w:p>
    <w:p>
      <w:pPr>
        <w:pStyle w:val="Normal"/>
        <w:spacing w:before="0" w:after="120"/>
        <w:rPr/>
      </w:pPr>
      <w:r>
        <w:rPr>
          <w:rFonts w:eastAsia="Calibri" w:cs="Calibri"/>
          <w:b/>
          <w:bCs/>
          <w:color w:val="1A1A1A"/>
          <w:sz w:val="20"/>
          <w:szCs w:val="20"/>
        </w:rPr>
        <w:t xml:space="preserve">Front-running — </w:t>
      </w:r>
      <w:r>
        <w:rPr>
          <w:rFonts w:eastAsia="Calibri" w:cs="Calibri"/>
          <w:color w:val="1A1A1A"/>
          <w:sz w:val="20"/>
          <w:szCs w:val="20"/>
        </w:rPr>
        <w:t>Trading ahead of a known or anticipated transaction to profit from its price impact.</w:t>
      </w:r>
    </w:p>
    <w:p>
      <w:pPr>
        <w:pStyle w:val="Normal"/>
        <w:spacing w:before="0" w:after="120"/>
        <w:rPr/>
      </w:pPr>
      <w:r>
        <w:rPr>
          <w:rFonts w:eastAsia="Calibri" w:cs="Calibri"/>
          <w:b/>
          <w:bCs/>
          <w:color w:val="1A1A1A"/>
          <w:sz w:val="20"/>
          <w:szCs w:val="20"/>
        </w:rPr>
        <w:t xml:space="preserve">Spot ETF — </w:t>
      </w:r>
      <w:r>
        <w:rPr>
          <w:rFonts w:eastAsia="Calibri" w:cs="Calibri"/>
          <w:color w:val="1A1A1A"/>
          <w:sz w:val="20"/>
          <w:szCs w:val="20"/>
        </w:rPr>
        <w:t>An exchange-traded fund that holds the underlying asset directly, as distinct from a futures-based product.</w:t>
      </w:r>
    </w:p>
    <w:p>
      <w:pPr>
        <w:pStyle w:val="Heading2"/>
        <w:spacing w:before="320" w:after="140"/>
        <w:rPr/>
      </w:pPr>
      <w:r>
        <w:rPr>
          <w:rFonts w:eastAsia="Georgia" w:cs="Georgia" w:ascii="Georgia" w:hAnsi="Georgia"/>
          <w:b/>
          <w:bCs/>
          <w:color w:val="8A6D3B"/>
          <w:sz w:val="24"/>
          <w:szCs w:val="24"/>
        </w:rPr>
        <w:t>Payments &amp; Business</w:t>
      </w:r>
    </w:p>
    <w:p>
      <w:pPr>
        <w:pStyle w:val="Normal"/>
        <w:spacing w:before="0" w:after="120"/>
        <w:rPr/>
      </w:pPr>
      <w:r>
        <w:rPr>
          <w:rFonts w:eastAsia="Calibri" w:cs="Calibri"/>
          <w:b/>
          <w:bCs/>
          <w:color w:val="1A1A1A"/>
          <w:sz w:val="20"/>
          <w:szCs w:val="20"/>
        </w:rPr>
        <w:t xml:space="preserve">Stablecoin — </w:t>
      </w:r>
      <w:r>
        <w:rPr>
          <w:rFonts w:eastAsia="Calibri" w:cs="Calibri"/>
          <w:color w:val="1A1A1A"/>
          <w:sz w:val="20"/>
          <w:szCs w:val="20"/>
        </w:rPr>
        <w:t>A cryptocurrency designed to maintain a stable value, typically by pegging one-to-one to a fiat currency.</w:t>
      </w:r>
    </w:p>
    <w:p>
      <w:pPr>
        <w:pStyle w:val="Normal"/>
        <w:spacing w:before="0" w:after="120"/>
        <w:rPr/>
      </w:pPr>
      <w:r>
        <w:rPr>
          <w:rFonts w:eastAsia="Calibri" w:cs="Calibri"/>
          <w:b/>
          <w:bCs/>
          <w:color w:val="1A1A1A"/>
          <w:sz w:val="20"/>
          <w:szCs w:val="20"/>
        </w:rPr>
        <w:t xml:space="preserve">Correspondent banking — </w:t>
      </w:r>
      <w:r>
        <w:rPr>
          <w:rFonts w:eastAsia="Calibri" w:cs="Calibri"/>
          <w:color w:val="1A1A1A"/>
          <w:sz w:val="20"/>
          <w:szCs w:val="20"/>
        </w:rPr>
        <w:t>The system by which banks without a direct relationship route international payments through intermediary banks, each adding fees and delay.</w:t>
      </w:r>
    </w:p>
    <w:p>
      <w:pPr>
        <w:pStyle w:val="Normal"/>
        <w:spacing w:before="0" w:after="120"/>
        <w:rPr/>
      </w:pPr>
      <w:r>
        <w:rPr>
          <w:rFonts w:eastAsia="Calibri" w:cs="Calibri"/>
          <w:b/>
          <w:bCs/>
          <w:color w:val="1A1A1A"/>
          <w:sz w:val="20"/>
          <w:szCs w:val="20"/>
        </w:rPr>
        <w:t xml:space="preserve">On-ramp / off-ramp — </w:t>
      </w:r>
      <w:r>
        <w:rPr>
          <w:rFonts w:eastAsia="Calibri" w:cs="Calibri"/>
          <w:color w:val="1A1A1A"/>
          <w:sz w:val="20"/>
          <w:szCs w:val="20"/>
        </w:rPr>
        <w:t>A service or exchange that allows conversion between fiat currency and cryptocurrency.</w:t>
      </w:r>
    </w:p>
    <w:p>
      <w:pPr>
        <w:pStyle w:val="Normal"/>
        <w:spacing w:before="0" w:after="120"/>
        <w:rPr/>
      </w:pPr>
      <w:r>
        <w:rPr>
          <w:rFonts w:eastAsia="Calibri" w:cs="Calibri"/>
          <w:b/>
          <w:bCs/>
          <w:color w:val="1A1A1A"/>
          <w:sz w:val="20"/>
          <w:szCs w:val="20"/>
        </w:rPr>
        <w:t xml:space="preserve">Settlement — </w:t>
      </w:r>
      <w:r>
        <w:rPr>
          <w:rFonts w:eastAsia="Calibri" w:cs="Calibri"/>
          <w:color w:val="1A1A1A"/>
          <w:sz w:val="20"/>
          <w:szCs w:val="20"/>
        </w:rPr>
        <w:t>The point at which a payment is finally and irreversibly transferred between parties.</w:t>
      </w:r>
    </w:p>
    <w:p>
      <w:pPr>
        <w:pStyle w:val="Normal"/>
        <w:spacing w:before="0" w:after="120"/>
        <w:rPr/>
      </w:pPr>
      <w:r>
        <w:rPr>
          <w:rFonts w:eastAsia="Calibri" w:cs="Calibri"/>
          <w:b/>
          <w:bCs/>
          <w:color w:val="1A1A1A"/>
          <w:sz w:val="20"/>
          <w:szCs w:val="20"/>
        </w:rPr>
        <w:t xml:space="preserve">Payment processor — </w:t>
      </w:r>
      <w:r>
        <w:rPr>
          <w:rFonts w:eastAsia="Calibri" w:cs="Calibri"/>
          <w:color w:val="1A1A1A"/>
          <w:sz w:val="20"/>
          <w:szCs w:val="20"/>
        </w:rPr>
        <w:t>A third-party service allowing a merchant to accept a given payment method, including cryptocurrency, without building the infrastructure in-house.</w:t>
      </w:r>
    </w:p>
    <w:p>
      <w:pPr>
        <w:pStyle w:val="Heading2"/>
        <w:spacing w:before="320" w:after="140"/>
        <w:rPr/>
      </w:pPr>
      <w:r>
        <w:rPr>
          <w:rFonts w:eastAsia="Georgia" w:cs="Georgia" w:ascii="Georgia" w:hAnsi="Georgia"/>
          <w:b/>
          <w:bCs/>
          <w:color w:val="8A6D3B"/>
          <w:sz w:val="24"/>
          <w:szCs w:val="24"/>
        </w:rPr>
        <w:t>Regulation</w:t>
      </w:r>
    </w:p>
    <w:p>
      <w:pPr>
        <w:pStyle w:val="Normal"/>
        <w:spacing w:before="0" w:after="120"/>
        <w:rPr/>
      </w:pPr>
      <w:r>
        <w:rPr>
          <w:rFonts w:eastAsia="Calibri" w:cs="Calibri"/>
          <w:b/>
          <w:bCs/>
          <w:color w:val="1A1A1A"/>
          <w:sz w:val="20"/>
          <w:szCs w:val="20"/>
        </w:rPr>
        <w:t xml:space="preserve">MiCA — </w:t>
      </w:r>
      <w:r>
        <w:rPr>
          <w:rFonts w:eastAsia="Calibri" w:cs="Calibri"/>
          <w:color w:val="1A1A1A"/>
          <w:sz w:val="20"/>
          <w:szCs w:val="20"/>
        </w:rPr>
        <w:t>Markets in Crypto-Assets Regulation — the EU's harmonised legal framework for crypto-asset issuance, service providers, and market conduct.</w:t>
      </w:r>
    </w:p>
    <w:p>
      <w:pPr>
        <w:pStyle w:val="Normal"/>
        <w:spacing w:before="0" w:after="120"/>
        <w:rPr/>
      </w:pPr>
      <w:r>
        <w:rPr>
          <w:rFonts w:eastAsia="Calibri" w:cs="Calibri"/>
          <w:b/>
          <w:bCs/>
          <w:color w:val="1A1A1A"/>
          <w:sz w:val="20"/>
          <w:szCs w:val="20"/>
        </w:rPr>
        <w:t xml:space="preserve">AML/CFT — </w:t>
      </w:r>
      <w:r>
        <w:rPr>
          <w:rFonts w:eastAsia="Calibri" w:cs="Calibri"/>
          <w:color w:val="1A1A1A"/>
          <w:sz w:val="20"/>
          <w:szCs w:val="20"/>
        </w:rPr>
        <w:t>Anti-Money-Laundering and Counter-Terrorist-Financing rules, the regulatory framework crypto-asset service providers must comply with.</w:t>
      </w:r>
    </w:p>
    <w:p>
      <w:pPr>
        <w:pStyle w:val="Normal"/>
        <w:spacing w:before="0" w:after="120"/>
        <w:rPr/>
      </w:pPr>
      <w:r>
        <w:rPr>
          <w:rFonts w:eastAsia="Calibri" w:cs="Calibri"/>
          <w:b/>
          <w:bCs/>
          <w:color w:val="1A1A1A"/>
          <w:sz w:val="20"/>
          <w:szCs w:val="20"/>
        </w:rPr>
        <w:t xml:space="preserve">Travel Rule — </w:t>
      </w:r>
      <w:r>
        <w:rPr>
          <w:rFonts w:eastAsia="Calibri" w:cs="Calibri"/>
          <w:color w:val="1A1A1A"/>
          <w:sz w:val="20"/>
          <w:szCs w:val="20"/>
        </w:rPr>
        <w:t>A requirement that crypto-asset service providers share originator and beneficiary information for transactions above a threshold.</w:t>
      </w:r>
    </w:p>
    <w:p>
      <w:pPr>
        <w:pStyle w:val="Normal"/>
        <w:spacing w:before="0" w:after="120"/>
        <w:rPr/>
      </w:pPr>
      <w:r>
        <w:rPr>
          <w:rFonts w:eastAsia="Calibri" w:cs="Calibri"/>
          <w:b/>
          <w:bCs/>
          <w:color w:val="1A1A1A"/>
          <w:sz w:val="20"/>
          <w:szCs w:val="20"/>
        </w:rPr>
        <w:t xml:space="preserve">Crypto-Asset Service Provider (CASP) — </w:t>
      </w:r>
      <w:r>
        <w:rPr>
          <w:rFonts w:eastAsia="Calibri" w:cs="Calibri"/>
          <w:color w:val="1A1A1A"/>
          <w:sz w:val="20"/>
          <w:szCs w:val="20"/>
        </w:rPr>
        <w:t>The MiCA term for a licensed entity offering crypto-asset custody, exchange, or trading services in the EU.</w:t>
      </w:r>
    </w:p>
    <w:p>
      <w:pPr>
        <w:pStyle w:val="Normal"/>
        <w:spacing w:before="0" w:after="120"/>
        <w:rPr/>
      </w:pPr>
      <w:r>
        <w:rPr>
          <w:rFonts w:eastAsia="Calibri" w:cs="Calibri"/>
          <w:b/>
          <w:bCs/>
          <w:color w:val="1A1A1A"/>
          <w:sz w:val="20"/>
          <w:szCs w:val="20"/>
        </w:rPr>
        <w:t xml:space="preserve">FSMA — </w:t>
      </w:r>
      <w:r>
        <w:rPr>
          <w:rFonts w:eastAsia="Calibri" w:cs="Calibri"/>
          <w:color w:val="1A1A1A"/>
          <w:sz w:val="20"/>
          <w:szCs w:val="20"/>
        </w:rPr>
        <w:t>The Financial Services and Markets Authority — Belgium's financial markets regulator.</w:t>
      </w:r>
    </w:p>
    <w:p>
      <w:pPr>
        <w:pStyle w:val="Normal"/>
        <w:spacing w:before="0" w:after="120"/>
        <w:rPr/>
      </w:pPr>
      <w:r>
        <w:rPr>
          <w:rFonts w:eastAsia="Calibri" w:cs="Calibri"/>
          <w:b/>
          <w:bCs/>
          <w:color w:val="1A1A1A"/>
          <w:sz w:val="20"/>
          <w:szCs w:val="20"/>
        </w:rPr>
        <w:t xml:space="preserve">ESMA — </w:t>
      </w:r>
      <w:r>
        <w:rPr>
          <w:rFonts w:eastAsia="Calibri" w:cs="Calibri"/>
          <w:color w:val="1A1A1A"/>
          <w:sz w:val="20"/>
          <w:szCs w:val="20"/>
        </w:rPr>
        <w:t>The European Securities and Markets Authority — the EU-level body coordinating securities and markets regulation, including aspects of MiCA implementation.</w:t>
      </w:r>
      <w:r>
        <w:br w:type="page"/>
      </w:r>
    </w:p>
    <w:p>
      <w:pPr>
        <w:pStyle w:val="Heading1"/>
        <w:spacing w:before="480" w:after="200"/>
        <w:rPr/>
      </w:pPr>
      <w:r>
        <w:rPr>
          <w:rFonts w:eastAsia="Georgia" w:cs="Georgia" w:ascii="Georgia" w:hAnsi="Georgia"/>
          <w:b/>
          <w:bCs/>
          <w:color w:val="1A1A1A"/>
          <w:sz w:val="32"/>
          <w:szCs w:val="32"/>
        </w:rPr>
        <w:t>Appendix B — Data Appendix</w:t>
      </w:r>
    </w:p>
    <w:p>
      <w:pPr>
        <w:pStyle w:val="Normal"/>
        <w:spacing w:lineRule="auto" w:line="300" w:before="0" w:after="160"/>
        <w:jc w:val="both"/>
        <w:rPr/>
      </w:pPr>
      <w:r>
        <w:rPr>
          <w:rFonts w:eastAsia="Calibri" w:cs="Calibri"/>
          <w:i w:val="false"/>
          <w:iCs w:val="false"/>
          <w:color w:val="1A1A1A"/>
          <w:sz w:val="21"/>
          <w:szCs w:val="21"/>
        </w:rPr>
        <w:t>Reference tables cited throughout the book. Figures are drawn from public sources as noted and reflect the state of the data at the time of this edition; the finished book will refresh every figure immediately before publication.</w:t>
      </w:r>
    </w:p>
    <w:p>
      <w:pPr>
        <w:pStyle w:val="Heading2"/>
        <w:spacing w:before="320" w:after="140"/>
        <w:rPr/>
      </w:pPr>
      <w:r>
        <w:rPr>
          <w:rFonts w:eastAsia="Georgia" w:cs="Georgia" w:ascii="Georgia" w:hAnsi="Georgia"/>
          <w:b/>
          <w:bCs/>
          <w:color w:val="8A6D3B"/>
          <w:sz w:val="24"/>
          <w:szCs w:val="24"/>
        </w:rPr>
        <w:t>Table B.1 — Belgian Household Savings vs. Inflation</w:t>
      </w:r>
    </w:p>
    <w:tbl>
      <w:tblPr>
        <w:tblW w:w="9000" w:type="dxa"/>
        <w:jc w:val="start"/>
        <w:tblInd w:w="0" w:type="dxa"/>
        <w:tblLayout w:type="fixed"/>
        <w:tblCellMar>
          <w:top w:w="80" w:type="dxa"/>
          <w:start w:w="120" w:type="dxa"/>
          <w:bottom w:w="80" w:type="dxa"/>
          <w:end w:w="120" w:type="dxa"/>
        </w:tblCellMar>
      </w:tblPr>
      <w:tblGrid>
        <w:gridCol w:w="3600"/>
        <w:gridCol w:w="2300"/>
        <w:gridCol w:w="1599"/>
        <w:gridCol w:w="1501"/>
      </w:tblGrid>
      <w:tr>
        <w:trPr>
          <w:tblHeader w:val="true"/>
        </w:trPr>
        <w:tc>
          <w:tcPr>
            <w:tcW w:w="36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Metric</w:t>
            </w:r>
          </w:p>
        </w:tc>
        <w:tc>
          <w:tcPr>
            <w:tcW w:w="23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Figure</w:t>
            </w:r>
          </w:p>
        </w:tc>
        <w:tc>
          <w:tcPr>
            <w:tcW w:w="1599"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Period</w:t>
            </w:r>
          </w:p>
        </w:tc>
        <w:tc>
          <w:tcPr>
            <w:tcW w:w="1501"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Source</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Total regulated savings-account balances</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w:t>
            </w:r>
            <w:r>
              <w:rPr>
                <w:rFonts w:eastAsia="Calibri" w:cs="Calibri"/>
                <w:b w:val="false"/>
                <w:bCs w:val="false"/>
                <w:color w:val="1A1A1A"/>
                <w:sz w:val="18"/>
                <w:szCs w:val="18"/>
              </w:rPr>
              <w:t>277.6 billion</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Dec 2024</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National Bank of Belgium, via VRT NWS</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Household share of total deposits</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w:t>
            </w:r>
            <w:r>
              <w:rPr>
                <w:rFonts w:eastAsia="Calibri" w:cs="Calibri"/>
                <w:b w:val="false"/>
                <w:bCs w:val="false"/>
                <w:color w:val="1A1A1A"/>
                <w:sz w:val="18"/>
                <w:szCs w:val="18"/>
              </w:rPr>
              <w:t>280.3 billion of €284.5 billion total</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Mar 2025</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ECB data, via IESEG / Brussels Times</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Average regulated savings interest rate (BE)</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0.89%</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Mar 2025</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European Central Bank</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Household saving rate</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13.33%</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Q4 2025</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Eurostat</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Household saving rate (most recent quarter)</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11.90%</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Q1 2026</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Eurostat, via Trading Economics</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Harmonised inflation (Belgium)</w:t>
            </w:r>
          </w:p>
        </w:tc>
        <w:tc>
          <w:tcPr>
            <w:tcW w:w="23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3.1%</w:t>
            </w:r>
          </w:p>
        </w:tc>
        <w:tc>
          <w:tcPr>
            <w:tcW w:w="15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Mar 2025</w:t>
            </w:r>
          </w:p>
        </w:tc>
        <w:tc>
          <w:tcPr>
            <w:tcW w:w="15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IESEG / Brussels Times</w:t>
            </w:r>
          </w:p>
        </w:tc>
      </w:tr>
    </w:tbl>
    <w:p>
      <w:pPr>
        <w:pStyle w:val="Heading2"/>
        <w:spacing w:before="320" w:after="140"/>
        <w:rPr/>
      </w:pPr>
      <w:r>
        <w:rPr>
          <w:rFonts w:eastAsia="Georgia" w:cs="Georgia" w:ascii="Georgia" w:hAnsi="Georgia"/>
          <w:b/>
          <w:bCs/>
          <w:color w:val="8A6D3B"/>
          <w:sz w:val="24"/>
          <w:szCs w:val="24"/>
        </w:rPr>
        <w:t>Table B.2 — Crypto Ownership: Belgium in the Eurozone</w:t>
      </w:r>
    </w:p>
    <w:tbl>
      <w:tblPr>
        <w:tblW w:w="9000" w:type="dxa"/>
        <w:jc w:val="start"/>
        <w:tblInd w:w="0" w:type="dxa"/>
        <w:tblLayout w:type="fixed"/>
        <w:tblCellMar>
          <w:top w:w="80" w:type="dxa"/>
          <w:start w:w="120" w:type="dxa"/>
          <w:bottom w:w="80" w:type="dxa"/>
          <w:end w:w="120" w:type="dxa"/>
        </w:tblCellMar>
      </w:tblPr>
      <w:tblGrid>
        <w:gridCol w:w="3799"/>
        <w:gridCol w:w="3201"/>
        <w:gridCol w:w="2000"/>
      </w:tblGrid>
      <w:tr>
        <w:trPr>
          <w:tblHeader w:val="true"/>
        </w:trPr>
        <w:tc>
          <w:tcPr>
            <w:tcW w:w="3799"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Metric</w:t>
            </w:r>
          </w:p>
        </w:tc>
        <w:tc>
          <w:tcPr>
            <w:tcW w:w="3201"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Figure</w:t>
            </w:r>
          </w:p>
        </w:tc>
        <w:tc>
          <w:tcPr>
            <w:tcW w:w="20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Source</w:t>
            </w:r>
          </w:p>
        </w:tc>
      </w:tr>
      <w:tr>
        <w:trPr/>
        <w:tc>
          <w:tcPr>
            <w:tcW w:w="3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Eurozone adult crypto ownership</w:t>
            </w:r>
          </w:p>
        </w:tc>
        <w:tc>
          <w:tcPr>
            <w:tcW w:w="32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9% (2024)</w:t>
            </w:r>
          </w:p>
        </w:tc>
        <w:tc>
          <w:tcPr>
            <w:tcW w:w="2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European Central Bank consumer survey</w:t>
            </w:r>
          </w:p>
        </w:tc>
      </w:tr>
      <w:tr>
        <w:trPr/>
        <w:tc>
          <w:tcPr>
            <w:tcW w:w="3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Range across eurozone countries</w:t>
            </w:r>
          </w:p>
        </w:tc>
        <w:tc>
          <w:tcPr>
            <w:tcW w:w="32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6% (Netherlands, Germany) to 15% (Slovenia)</w:t>
            </w:r>
          </w:p>
        </w:tc>
        <w:tc>
          <w:tcPr>
            <w:tcW w:w="2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ECB survey, via Yahoo Finance/Adan reporting</w:t>
            </w:r>
          </w:p>
        </w:tc>
      </w:tr>
      <w:tr>
        <w:trPr/>
        <w:tc>
          <w:tcPr>
            <w:tcW w:w="3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Belgium's year-on-year change</w:t>
            </w:r>
          </w:p>
        </w:tc>
        <w:tc>
          <w:tcPr>
            <w:tcW w:w="32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Among countries with the largest increases (+7 points or more)</w:t>
            </w:r>
          </w:p>
        </w:tc>
        <w:tc>
          <w:tcPr>
            <w:tcW w:w="2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ECB-based reporting, 2025</w:t>
            </w:r>
          </w:p>
        </w:tc>
      </w:tr>
      <w:tr>
        <w:trPr/>
        <w:tc>
          <w:tcPr>
            <w:tcW w:w="3799"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Belgium crypto user penetration (broader estimate)</w:t>
            </w:r>
          </w:p>
        </w:tc>
        <w:tc>
          <w:tcPr>
            <w:tcW w:w="3201"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31% of population (differing methodology)</w:t>
            </w:r>
          </w:p>
        </w:tc>
        <w:tc>
          <w:tcPr>
            <w:tcW w:w="2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Statista Market Forecast, 2024–25</w:t>
            </w:r>
          </w:p>
        </w:tc>
      </w:tr>
    </w:tbl>
    <w:p>
      <w:pPr>
        <w:pStyle w:val="Normal"/>
        <w:spacing w:before="0" w:after="100"/>
        <w:rPr/>
      </w:pPr>
      <w:r>
        <w:rPr>
          <w:rFonts w:eastAsia="Calibri" w:cs="Calibri"/>
          <w:i/>
          <w:iCs/>
          <w:color w:val="5B5B5B"/>
          <w:sz w:val="18"/>
          <w:szCs w:val="18"/>
        </w:rPr>
        <w:t>Ownership figures vary significantly by methodology (survey-based vs. modelled estimates); the finished book will present both with their respective caveats rather than a single headline number.</w:t>
      </w:r>
    </w:p>
    <w:p>
      <w:pPr>
        <w:pStyle w:val="Heading2"/>
        <w:spacing w:before="320" w:after="140"/>
        <w:rPr/>
      </w:pPr>
      <w:r>
        <w:rPr>
          <w:rFonts w:eastAsia="Georgia" w:cs="Georgia" w:ascii="Georgia" w:hAnsi="Georgia"/>
          <w:b/>
          <w:bCs/>
          <w:color w:val="8A6D3B"/>
          <w:sz w:val="24"/>
          <w:szCs w:val="24"/>
        </w:rPr>
        <w:t>Table B.3 — Illustrative Cross-Border Settlement Comparison</w:t>
      </w:r>
    </w:p>
    <w:tbl>
      <w:tblPr>
        <w:tblW w:w="9000" w:type="dxa"/>
        <w:jc w:val="start"/>
        <w:tblInd w:w="0" w:type="dxa"/>
        <w:tblLayout w:type="fixed"/>
        <w:tblCellMar>
          <w:top w:w="80" w:type="dxa"/>
          <w:start w:w="120" w:type="dxa"/>
          <w:bottom w:w="80" w:type="dxa"/>
          <w:end w:w="120" w:type="dxa"/>
        </w:tblCellMar>
      </w:tblPr>
      <w:tblGrid>
        <w:gridCol w:w="3200"/>
        <w:gridCol w:w="2800"/>
        <w:gridCol w:w="30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Rail</w:t>
            </w:r>
          </w:p>
        </w:tc>
        <w:tc>
          <w:tcPr>
            <w:tcW w:w="28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Typical Settlement Time</w:t>
            </w:r>
          </w:p>
        </w:tc>
        <w:tc>
          <w:tcPr>
            <w:tcW w:w="30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Typical Cost Layers</w:t>
            </w:r>
          </w:p>
        </w:tc>
      </w:tr>
      <w:tr>
        <w:trPr/>
        <w:tc>
          <w:tcPr>
            <w:tcW w:w="3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Correspondent banking (SWIFT)</w:t>
            </w:r>
          </w:p>
        </w:tc>
        <w:tc>
          <w:tcPr>
            <w:tcW w:w="28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2–5 business days</w:t>
            </w:r>
          </w:p>
        </w:tc>
        <w:tc>
          <w:tcPr>
            <w:tcW w:w="3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Sending bank fee, intermediary bank fee(s), FX spread, receiving bank fee</w:t>
            </w:r>
          </w:p>
        </w:tc>
      </w:tr>
      <w:tr>
        <w:trPr/>
        <w:tc>
          <w:tcPr>
            <w:tcW w:w="3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Card payment (merchant-side)</w:t>
            </w:r>
          </w:p>
        </w:tc>
        <w:tc>
          <w:tcPr>
            <w:tcW w:w="28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Same day to next day</w:t>
            </w:r>
          </w:p>
        </w:tc>
        <w:tc>
          <w:tcPr>
            <w:tcW w:w="3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Interchange fee, scheme fee, processor markup</w:t>
            </w:r>
          </w:p>
        </w:tc>
      </w:tr>
      <w:tr>
        <w:trPr/>
        <w:tc>
          <w:tcPr>
            <w:tcW w:w="32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Shielded crypto rail + stablecoin conversion</w:t>
            </w:r>
          </w:p>
        </w:tc>
        <w:tc>
          <w:tcPr>
            <w:tcW w:w="28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Minutes</w:t>
            </w:r>
          </w:p>
        </w:tc>
        <w:tc>
          <w:tcPr>
            <w:tcW w:w="30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Network fee, exchange/processor conversion spread</w:t>
            </w:r>
          </w:p>
        </w:tc>
      </w:tr>
    </w:tbl>
    <w:p>
      <w:pPr>
        <w:pStyle w:val="Heading2"/>
        <w:spacing w:before="320" w:after="140"/>
        <w:rPr/>
      </w:pPr>
      <w:r>
        <w:rPr>
          <w:rFonts w:eastAsia="Georgia" w:cs="Georgia" w:ascii="Georgia" w:hAnsi="Georgia"/>
          <w:b/>
          <w:bCs/>
          <w:color w:val="8A6D3B"/>
          <w:sz w:val="24"/>
          <w:szCs w:val="24"/>
        </w:rPr>
        <w:t>Table B.4 — Zcash Market Snapshot (Reference Point)</w:t>
      </w:r>
    </w:p>
    <w:tbl>
      <w:tblPr>
        <w:tblW w:w="9000" w:type="dxa"/>
        <w:jc w:val="start"/>
        <w:tblInd w:w="0" w:type="dxa"/>
        <w:tblLayout w:type="fixed"/>
        <w:tblCellMar>
          <w:top w:w="80" w:type="dxa"/>
          <w:start w:w="120" w:type="dxa"/>
          <w:bottom w:w="80" w:type="dxa"/>
          <w:end w:w="120" w:type="dxa"/>
        </w:tblCellMar>
      </w:tblPr>
      <w:tblGrid>
        <w:gridCol w:w="3600"/>
        <w:gridCol w:w="2799"/>
        <w:gridCol w:w="2601"/>
      </w:tblGrid>
      <w:tr>
        <w:trPr>
          <w:tblHeader w:val="true"/>
        </w:trPr>
        <w:tc>
          <w:tcPr>
            <w:tcW w:w="36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Metric</w:t>
            </w:r>
          </w:p>
        </w:tc>
        <w:tc>
          <w:tcPr>
            <w:tcW w:w="2799"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Value</w:t>
            </w:r>
          </w:p>
        </w:tc>
        <w:tc>
          <w:tcPr>
            <w:tcW w:w="2601"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As of</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ZEC price</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$465</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29 Jul 2026</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Market capitalisation</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$7.8 billion</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29 Jul 2026</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Global market rank</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#14–15</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Jul 2026</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Shielded pool share of circulating supply</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30%</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Mid-2026</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All-time high</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 xml:space="preserve">≈ </w:t>
            </w:r>
            <w:r>
              <w:rPr>
                <w:rFonts w:eastAsia="Calibri" w:cs="Calibri"/>
                <w:b w:val="false"/>
                <w:bCs w:val="false"/>
                <w:color w:val="1A1A1A"/>
                <w:sz w:val="18"/>
                <w:szCs w:val="18"/>
              </w:rPr>
              <w:t>$5,942</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Jan 2018</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Launch date</w:t>
            </w:r>
          </w:p>
        </w:tc>
        <w:tc>
          <w:tcPr>
            <w:tcW w:w="2799"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October 2016</w:t>
            </w:r>
          </w:p>
        </w:tc>
        <w:tc>
          <w:tcPr>
            <w:tcW w:w="2601"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w:t>
            </w:r>
          </w:p>
        </w:tc>
      </w:tr>
    </w:tbl>
    <w:p>
      <w:pPr>
        <w:pStyle w:val="Heading2"/>
        <w:spacing w:before="320" w:after="140"/>
        <w:rPr/>
      </w:pPr>
      <w:r>
        <w:rPr>
          <w:rFonts w:eastAsia="Georgia" w:cs="Georgia" w:ascii="Georgia" w:hAnsi="Georgia"/>
          <w:b/>
          <w:bCs/>
          <w:color w:val="8A6D3B"/>
          <w:sz w:val="24"/>
          <w:szCs w:val="24"/>
        </w:rPr>
        <w:t>Table B.5 — Network and Ecosystem Milestones, 2026</w:t>
      </w:r>
    </w:p>
    <w:tbl>
      <w:tblPr>
        <w:tblW w:w="9000" w:type="dxa"/>
        <w:jc w:val="start"/>
        <w:tblInd w:w="0" w:type="dxa"/>
        <w:tblLayout w:type="fixed"/>
        <w:tblCellMar>
          <w:top w:w="80" w:type="dxa"/>
          <w:start w:w="120" w:type="dxa"/>
          <w:bottom w:w="80" w:type="dxa"/>
          <w:end w:w="120" w:type="dxa"/>
        </w:tblCellMar>
      </w:tblPr>
      <w:tblGrid>
        <w:gridCol w:w="3600"/>
        <w:gridCol w:w="5400"/>
      </w:tblGrid>
      <w:tr>
        <w:trPr>
          <w:tblHeader w:val="true"/>
        </w:trPr>
        <w:tc>
          <w:tcPr>
            <w:tcW w:w="36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Milestone</w:t>
            </w:r>
          </w:p>
        </w:tc>
        <w:tc>
          <w:tcPr>
            <w:tcW w:w="540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Detail</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Orchard vulnerability disclosed</w:t>
            </w:r>
          </w:p>
        </w:tc>
        <w:tc>
          <w:tcPr>
            <w:tcW w:w="54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Independent researchers report a flaw permitting theoretical undetectable counterfeiting within the Orchard shielded pool</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Emergency response</w:t>
            </w:r>
          </w:p>
        </w:tc>
        <w:tc>
          <w:tcPr>
            <w:tcW w:w="54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Affected shielded-pool functionality disabled within days; no counterfeit coins confirmed spent</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Ironwood (NU6.3) mainnet activation</w:t>
            </w:r>
          </w:p>
        </w:tc>
        <w:tc>
          <w:tcPr>
            <w:tcW w:w="54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28 July 2026 — new shielded pool with turnstile supply cap; dual independent implementations for cross-verification</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Project Tachyon</w:t>
            </w:r>
          </w:p>
        </w:tc>
        <w:tc>
          <w:tcPr>
            <w:tcW w:w="54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Ongoing engineering initiative targeting substantially higher network throughput and shorter block times</w:t>
            </w:r>
          </w:p>
        </w:tc>
      </w:tr>
      <w:tr>
        <w:trPr/>
        <w:tc>
          <w:tcPr>
            <w:tcW w:w="360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Zebra full-node adoption</w:t>
            </w:r>
          </w:p>
        </w:tc>
        <w:tc>
          <w:tcPr>
            <w:tcW w:w="540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Rust-based Zebra continues to succeed the original zcashd client as the primary node implementation</w:t>
            </w:r>
          </w:p>
        </w:tc>
      </w:tr>
    </w:tbl>
    <w:p>
      <w:pPr>
        <w:pStyle w:val="Heading2"/>
        <w:spacing w:before="320" w:after="140"/>
        <w:rPr/>
      </w:pPr>
      <w:r>
        <w:rPr>
          <w:rFonts w:eastAsia="Georgia" w:cs="Georgia" w:ascii="Georgia" w:hAnsi="Georgia"/>
          <w:b/>
          <w:bCs/>
          <w:color w:val="8A6D3B"/>
          <w:sz w:val="24"/>
          <w:szCs w:val="24"/>
        </w:rPr>
        <w:t>Table B.6 — Comparative Snapshot: Privacy and Security Models</w:t>
      </w:r>
    </w:p>
    <w:tbl>
      <w:tblPr>
        <w:tblW w:w="9000" w:type="dxa"/>
        <w:jc w:val="start"/>
        <w:tblInd w:w="0" w:type="dxa"/>
        <w:tblLayout w:type="fixed"/>
        <w:tblCellMar>
          <w:top w:w="80" w:type="dxa"/>
          <w:start w:w="120" w:type="dxa"/>
          <w:bottom w:w="80" w:type="dxa"/>
          <w:end w:w="120" w:type="dxa"/>
        </w:tblCellMar>
      </w:tblPr>
      <w:tblGrid>
        <w:gridCol w:w="1980"/>
        <w:gridCol w:w="2520"/>
        <w:gridCol w:w="1980"/>
        <w:gridCol w:w="2520"/>
      </w:tblGrid>
      <w:tr>
        <w:trPr>
          <w:tblHeader w:val="true"/>
        </w:trPr>
        <w:tc>
          <w:tcPr>
            <w:tcW w:w="198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Project</w:t>
            </w:r>
          </w:p>
        </w:tc>
        <w:tc>
          <w:tcPr>
            <w:tcW w:w="252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Privacy Mechanism</w:t>
            </w:r>
          </w:p>
        </w:tc>
        <w:tc>
          <w:tcPr>
            <w:tcW w:w="198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Default Privacy</w:t>
            </w:r>
          </w:p>
        </w:tc>
        <w:tc>
          <w:tcPr>
            <w:tcW w:w="2520" w:type="dxa"/>
            <w:tcBorders>
              <w:top w:val="single" w:sz="4" w:space="0" w:color="000000"/>
              <w:start w:val="single" w:sz="4" w:space="0" w:color="000000"/>
              <w:bottom w:val="single" w:sz="4" w:space="0" w:color="000000"/>
              <w:end w:val="single" w:sz="4" w:space="0" w:color="000000"/>
            </w:tcBorders>
            <w:shd w:color="auto" w:fill="1A1A1A" w:val="clear"/>
            <w:vAlign w:val="center"/>
          </w:tcPr>
          <w:p>
            <w:pPr>
              <w:pStyle w:val="Normal"/>
              <w:rPr/>
            </w:pPr>
            <w:r>
              <w:rPr>
                <w:rFonts w:eastAsia="Calibri" w:cs="Calibri"/>
                <w:b/>
                <w:bCs/>
                <w:color w:val="FFFFFF"/>
                <w:sz w:val="18"/>
                <w:szCs w:val="18"/>
              </w:rPr>
              <w:t>Optional Disclosure</w:t>
            </w:r>
          </w:p>
        </w:tc>
      </w:tr>
      <w:tr>
        <w:trPr/>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Zcash</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zk-SNARKs (Halo 2 / Orchard)</w:t>
            </w:r>
          </w:p>
        </w:tc>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Optional (shielded pool)</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Yes — viewing keys</w:t>
            </w:r>
          </w:p>
        </w:tc>
      </w:tr>
      <w:tr>
        <w:trPr/>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Monero</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Ring signatures + stealth addresses</w:t>
            </w:r>
          </w:p>
        </w:tc>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Mandatory for all transactions</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Limited — view keys exist but ecosystem support is narrower</w:t>
            </w:r>
          </w:p>
        </w:tc>
      </w:tr>
      <w:tr>
        <w:trPr/>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Grin / Mimblewimble chains</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Confidential Transactions + cut-through</w:t>
            </w:r>
          </w:p>
        </w:tc>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Mandatory</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No standard mechanism</w:t>
            </w:r>
          </w:p>
        </w:tc>
      </w:tr>
      <w:tr>
        <w:trPr/>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Bitcoin (with CoinJoin)</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Optional third-party mixing</w:t>
            </w:r>
          </w:p>
        </w:tc>
        <w:tc>
          <w:tcPr>
            <w:tcW w:w="198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pPr>
            <w:r>
              <w:rPr>
                <w:rFonts w:eastAsia="Calibri" w:cs="Calibri"/>
                <w:b w:val="false"/>
                <w:bCs w:val="false"/>
                <w:color w:val="1A1A1A"/>
                <w:sz w:val="18"/>
                <w:szCs w:val="18"/>
              </w:rPr>
              <w:t>None by default</w:t>
            </w:r>
          </w:p>
        </w:tc>
        <w:tc>
          <w:tcPr>
            <w:tcW w:w="2520" w:type="dxa"/>
            <w:tcBorders>
              <w:top w:val="single" w:sz="4" w:space="0" w:color="000000"/>
              <w:start w:val="single" w:sz="4" w:space="0" w:color="000000"/>
              <w:bottom w:val="single" w:sz="4" w:space="0" w:color="000000"/>
              <w:end w:val="single" w:sz="4" w:space="0" w:color="000000"/>
            </w:tcBorders>
            <w:shd w:color="auto" w:fill="F4F1E8" w:val="clear"/>
            <w:vAlign w:val="center"/>
          </w:tcPr>
          <w:p>
            <w:pPr>
              <w:pStyle w:val="Normal"/>
              <w:rPr/>
            </w:pPr>
            <w:r>
              <w:rPr>
                <w:rFonts w:eastAsia="Calibri" w:cs="Calibri"/>
                <w:b w:val="false"/>
                <w:bCs w:val="false"/>
                <w:color w:val="1A1A1A"/>
                <w:sz w:val="18"/>
                <w:szCs w:val="18"/>
              </w:rPr>
              <w:t>N/A — not protocol-native</w:t>
            </w:r>
          </w:p>
        </w:tc>
      </w:tr>
    </w:tbl>
    <w:p>
      <w:pPr>
        <w:pStyle w:val="Normal"/>
        <w:spacing w:before="0" w:after="100"/>
        <w:rPr/>
      </w:pPr>
      <w:r>
        <w:rPr>
          <w:rFonts w:eastAsia="Calibri" w:cs="Calibri"/>
          <w:i/>
          <w:iCs/>
          <w:color w:val="5B5B5B"/>
          <w:sz w:val="18"/>
          <w:szCs w:val="18"/>
        </w:rPr>
        <w:t>This table summarises Part III's comparative framework; the finished book expands each row into a full chapter-level discussion.</w:t>
      </w:r>
      <w:r>
        <w:br w:type="page"/>
      </w:r>
    </w:p>
    <w:p>
      <w:pPr>
        <w:pStyle w:val="Heading1"/>
        <w:spacing w:before="480" w:after="200"/>
        <w:rPr/>
      </w:pPr>
      <w:r>
        <w:rPr>
          <w:rFonts w:eastAsia="Georgia" w:cs="Georgia" w:ascii="Georgia" w:hAnsi="Georgia"/>
          <w:b/>
          <w:bCs/>
          <w:color w:val="1A1A1A"/>
          <w:sz w:val="32"/>
          <w:szCs w:val="32"/>
        </w:rPr>
        <w:t>Appendix C — Resources and Further Reading</w:t>
      </w:r>
    </w:p>
    <w:p>
      <w:pPr>
        <w:pStyle w:val="Normal"/>
        <w:spacing w:lineRule="auto" w:line="300" w:before="0" w:after="160"/>
        <w:jc w:val="both"/>
        <w:rPr/>
      </w:pPr>
      <w:r>
        <w:rPr>
          <w:rFonts w:eastAsia="Calibri" w:cs="Calibri"/>
          <w:i w:val="false"/>
          <w:iCs w:val="false"/>
          <w:color w:val="1A1A1A"/>
          <w:sz w:val="21"/>
          <w:szCs w:val="21"/>
        </w:rPr>
        <w:t>A short, curated list to be expanded in the finished manuscript:</w:t>
      </w:r>
    </w:p>
    <w:p>
      <w:pPr>
        <w:pStyle w:val="ListParagraph"/>
        <w:numPr>
          <w:ilvl w:val="0"/>
          <w:numId w:val="1"/>
        </w:numPr>
        <w:spacing w:before="0" w:after="60"/>
        <w:rPr/>
      </w:pPr>
      <w:r>
        <w:rPr>
          <w:rFonts w:eastAsia="Calibri" w:cs="Calibri"/>
          <w:color w:val="1A1A1A"/>
          <w:sz w:val="20"/>
          <w:szCs w:val="20"/>
        </w:rPr>
        <w:t>ZecHub (zechub.wiki) — community-maintained technical and educational wiki covering Zcash protocol details, wallets, and ecosystem tools.</w:t>
      </w:r>
    </w:p>
    <w:p>
      <w:pPr>
        <w:pStyle w:val="ListParagraph"/>
        <w:numPr>
          <w:ilvl w:val="0"/>
          <w:numId w:val="1"/>
        </w:numPr>
        <w:spacing w:before="0" w:after="60"/>
        <w:rPr/>
      </w:pPr>
      <w:r>
        <w:rPr>
          <w:rFonts w:eastAsia="Calibri" w:cs="Calibri"/>
          <w:color w:val="1A1A1A"/>
          <w:sz w:val="20"/>
          <w:szCs w:val="20"/>
        </w:rPr>
        <w:t>The original Zerocash academic paper and subsequent work on zk-SNARK constructions.</w:t>
      </w:r>
    </w:p>
    <w:p>
      <w:pPr>
        <w:pStyle w:val="ListParagraph"/>
        <w:numPr>
          <w:ilvl w:val="0"/>
          <w:numId w:val="1"/>
        </w:numPr>
        <w:spacing w:before="0" w:after="60"/>
        <w:rPr/>
      </w:pPr>
      <w:r>
        <w:rPr>
          <w:rFonts w:eastAsia="Calibri" w:cs="Calibri"/>
          <w:color w:val="1A1A1A"/>
          <w:sz w:val="20"/>
          <w:szCs w:val="20"/>
        </w:rPr>
        <w:t>Electric Coin Company and Zcash Foundation public engineering blogs, for primary-source network-upgrade documentation.</w:t>
      </w:r>
    </w:p>
    <w:p>
      <w:pPr>
        <w:pStyle w:val="ListParagraph"/>
        <w:numPr>
          <w:ilvl w:val="0"/>
          <w:numId w:val="1"/>
        </w:numPr>
        <w:spacing w:before="0" w:after="60"/>
        <w:rPr/>
      </w:pPr>
      <w:r>
        <w:rPr>
          <w:rFonts w:eastAsia="Calibri" w:cs="Calibri"/>
          <w:color w:val="1A1A1A"/>
          <w:sz w:val="20"/>
          <w:szCs w:val="20"/>
        </w:rPr>
        <w:t>The Zcash Community Forum, hosted by the Zcash Foundation, for ongoing ecosystem and governance discussion.</w:t>
      </w:r>
    </w:p>
    <w:p>
      <w:pPr>
        <w:pStyle w:val="ListParagraph"/>
        <w:numPr>
          <w:ilvl w:val="0"/>
          <w:numId w:val="1"/>
        </w:numPr>
        <w:spacing w:before="0" w:after="60"/>
        <w:rPr/>
      </w:pPr>
      <w:r>
        <w:rPr>
          <w:rFonts w:eastAsia="Calibri" w:cs="Calibri"/>
          <w:color w:val="1A1A1A"/>
          <w:sz w:val="20"/>
          <w:szCs w:val="20"/>
        </w:rPr>
        <w:t>European Commission Savings and Investments Union communications, for the policy context underpinning Part IX.</w:t>
      </w:r>
    </w:p>
    <w:p>
      <w:pPr>
        <w:pStyle w:val="ListParagraph"/>
        <w:numPr>
          <w:ilvl w:val="0"/>
          <w:numId w:val="1"/>
        </w:numPr>
        <w:spacing w:before="0" w:after="60"/>
        <w:rPr/>
      </w:pPr>
      <w:r>
        <w:rPr>
          <w:rFonts w:eastAsia="Calibri" w:cs="Calibri"/>
          <w:color w:val="1A1A1A"/>
          <w:sz w:val="20"/>
          <w:szCs w:val="20"/>
        </w:rPr>
        <w:t>National Bank of Belgium, FSMA, and Eurostat public statistical releases, for updated household savings and regulatory data.</w:t>
      </w:r>
      <w:r>
        <w:br w:type="page"/>
      </w:r>
    </w:p>
    <w:p>
      <w:pPr>
        <w:pStyle w:val="Heading1"/>
        <w:spacing w:before="480" w:after="200"/>
        <w:rPr/>
      </w:pPr>
      <w:r>
        <w:rPr>
          <w:rFonts w:eastAsia="Georgia" w:cs="Georgia" w:ascii="Georgia" w:hAnsi="Georgia"/>
          <w:b/>
          <w:bCs/>
          <w:color w:val="1A1A1A"/>
          <w:sz w:val="32"/>
          <w:szCs w:val="32"/>
        </w:rPr>
        <w:t>Appendix D — About COSIC and imec</w:t>
      </w:r>
    </w:p>
    <w:p>
      <w:pPr>
        <w:pStyle w:val="Normal"/>
        <w:spacing w:lineRule="auto" w:line="300" w:before="0" w:after="160"/>
        <w:jc w:val="both"/>
        <w:rPr/>
      </w:pPr>
      <w:r>
        <w:rPr>
          <w:rFonts w:eastAsia="Calibri" w:cs="Calibri"/>
          <w:i w:val="false"/>
          <w:iCs w:val="false"/>
          <w:color w:val="1A1A1A"/>
          <w:sz w:val="21"/>
          <w:szCs w:val="21"/>
        </w:rPr>
        <w:t>COSIC (Computer Security and Industrial Cryptography) is a research group within the Department of Electrical Engineering at KU Leuven, active since 1979, working across cryptographic algorithm design, hardware and software security implementations, and privacy-enhancing technologies. It operates in partnership with imec, and its members have contributed to internationally deployed standards and security infrastructure, including Belgium's own digital-identity and public-health technology projects.</w:t>
      </w:r>
      <w:r>
        <w:br w:type="page"/>
      </w:r>
    </w:p>
    <w:p>
      <w:pPr>
        <w:pStyle w:val="Heading1"/>
        <w:spacing w:before="480" w:after="200"/>
        <w:rPr/>
      </w:pPr>
      <w:r>
        <w:rPr>
          <w:rFonts w:eastAsia="Georgia" w:cs="Georgia" w:ascii="Georgia" w:hAnsi="Georgia"/>
          <w:b/>
          <w:bCs/>
          <w:color w:val="1A1A1A"/>
          <w:sz w:val="32"/>
          <w:szCs w:val="32"/>
        </w:rPr>
        <w:t>Appendix E — Frequently Asked Questions</w:t>
      </w:r>
    </w:p>
    <w:p>
      <w:pPr>
        <w:pStyle w:val="Heading3"/>
        <w:spacing w:before="200" w:after="90"/>
        <w:rPr/>
      </w:pPr>
      <w:r>
        <w:rPr>
          <w:rFonts w:eastAsia="Calibri" w:cs="Calibri" w:ascii="Calibri" w:hAnsi="Calibri"/>
          <w:b/>
          <w:bCs/>
          <w:color w:val="1A1A1A"/>
          <w:sz w:val="20"/>
          <w:szCs w:val="20"/>
        </w:rPr>
        <w:t>Is Zcash illegal in the EU?</w:t>
      </w:r>
    </w:p>
    <w:p>
      <w:pPr>
        <w:pStyle w:val="Normal"/>
        <w:spacing w:lineRule="auto" w:line="300" w:before="0" w:after="160"/>
        <w:jc w:val="both"/>
        <w:rPr/>
      </w:pPr>
      <w:r>
        <w:rPr>
          <w:rFonts w:eastAsia="Calibri" w:cs="Calibri"/>
          <w:i w:val="false"/>
          <w:iCs w:val="false"/>
          <w:color w:val="1A1A1A"/>
          <w:sz w:val="21"/>
          <w:szCs w:val="21"/>
        </w:rPr>
        <w:t>No. It is a regulated crypto-asset under the same general framework as other cryptocurrencies; specific custody rules for privacy-enhanced assets are scheduled to tighten from mid-2027 (see Part X).</w:t>
      </w:r>
    </w:p>
    <w:p>
      <w:pPr>
        <w:pStyle w:val="Heading3"/>
        <w:spacing w:before="200" w:after="90"/>
        <w:rPr/>
      </w:pPr>
      <w:r>
        <w:rPr>
          <w:rFonts w:eastAsia="Calibri" w:cs="Calibri" w:ascii="Calibri" w:hAnsi="Calibri"/>
          <w:b/>
          <w:bCs/>
          <w:color w:val="1A1A1A"/>
          <w:sz w:val="20"/>
          <w:szCs w:val="20"/>
        </w:rPr>
        <w:t>Is Zcash the same as Bitcoin?</w:t>
      </w:r>
    </w:p>
    <w:p>
      <w:pPr>
        <w:pStyle w:val="Normal"/>
        <w:spacing w:lineRule="auto" w:line="300" w:before="0" w:after="160"/>
        <w:jc w:val="both"/>
        <w:rPr/>
      </w:pPr>
      <w:r>
        <w:rPr>
          <w:rFonts w:eastAsia="Calibri" w:cs="Calibri"/>
          <w:i w:val="false"/>
          <w:iCs w:val="false"/>
          <w:color w:val="1A1A1A"/>
          <w:sz w:val="21"/>
          <w:szCs w:val="21"/>
        </w:rPr>
        <w:t>No. It shares some technical lineage but adds an optional shielded-transaction layer that Bitcoin does not have (see Parts I–II).</w:t>
      </w:r>
    </w:p>
    <w:p>
      <w:pPr>
        <w:pStyle w:val="Heading3"/>
        <w:spacing w:before="200" w:after="90"/>
        <w:rPr/>
      </w:pPr>
      <w:r>
        <w:rPr>
          <w:rFonts w:eastAsia="Calibri" w:cs="Calibri" w:ascii="Calibri" w:hAnsi="Calibri"/>
          <w:b/>
          <w:bCs/>
          <w:color w:val="1A1A1A"/>
          <w:sz w:val="20"/>
          <w:szCs w:val="20"/>
        </w:rPr>
        <w:t>How is Zcash different from Monero?</w:t>
      </w:r>
    </w:p>
    <w:p>
      <w:pPr>
        <w:pStyle w:val="Normal"/>
        <w:spacing w:lineRule="auto" w:line="300" w:before="0" w:after="160"/>
        <w:jc w:val="both"/>
        <w:rPr/>
      </w:pPr>
      <w:r>
        <w:rPr>
          <w:rFonts w:eastAsia="Calibri" w:cs="Calibri"/>
          <w:i w:val="false"/>
          <w:iCs w:val="false"/>
          <w:color w:val="1A1A1A"/>
          <w:sz w:val="21"/>
          <w:szCs w:val="21"/>
        </w:rPr>
        <w:t>Zcash makes shielding optional and pairs it with viewing keys for selective disclosure; Monero applies privacy by default to every transaction with a narrower disclosure mechanism (see Part III, Chapter 18, and Part V, Chapter 31).</w:t>
      </w:r>
    </w:p>
    <w:p>
      <w:pPr>
        <w:pStyle w:val="Heading3"/>
        <w:spacing w:before="200" w:after="90"/>
        <w:rPr/>
      </w:pPr>
      <w:r>
        <w:rPr>
          <w:rFonts w:eastAsia="Calibri" w:cs="Calibri" w:ascii="Calibri" w:hAnsi="Calibri"/>
          <w:b/>
          <w:bCs/>
          <w:color w:val="1A1A1A"/>
          <w:sz w:val="20"/>
          <w:szCs w:val="20"/>
        </w:rPr>
        <w:t>Can I still prove my transactions to a tax authority if I use shielded addresses?</w:t>
      </w:r>
    </w:p>
    <w:p>
      <w:pPr>
        <w:pStyle w:val="Normal"/>
        <w:spacing w:lineRule="auto" w:line="300" w:before="0" w:after="160"/>
        <w:jc w:val="both"/>
        <w:rPr/>
      </w:pPr>
      <w:r>
        <w:rPr>
          <w:rFonts w:eastAsia="Calibri" w:cs="Calibri"/>
          <w:i w:val="false"/>
          <w:iCs w:val="false"/>
          <w:color w:val="1A1A1A"/>
          <w:sz w:val="21"/>
          <w:szCs w:val="21"/>
        </w:rPr>
        <w:t>Yes, via a viewing key, which discloses exactly the transaction details required and nothing more (see Chapter 11).</w:t>
      </w:r>
    </w:p>
    <w:p>
      <w:pPr>
        <w:pStyle w:val="Heading3"/>
        <w:spacing w:before="200" w:after="90"/>
        <w:rPr/>
      </w:pPr>
      <w:r>
        <w:rPr>
          <w:rFonts w:eastAsia="Calibri" w:cs="Calibri" w:ascii="Calibri" w:hAnsi="Calibri"/>
          <w:b/>
          <w:bCs/>
          <w:color w:val="1A1A1A"/>
          <w:sz w:val="20"/>
          <w:szCs w:val="20"/>
        </w:rPr>
        <w:t>Do I need to run my own node to use Zcash?</w:t>
      </w:r>
    </w:p>
    <w:p>
      <w:pPr>
        <w:pStyle w:val="Normal"/>
        <w:spacing w:lineRule="auto" w:line="300" w:before="0" w:after="160"/>
        <w:jc w:val="both"/>
        <w:rPr/>
      </w:pPr>
      <w:r>
        <w:rPr>
          <w:rFonts w:eastAsia="Calibri" w:cs="Calibri"/>
          <w:i w:val="false"/>
          <w:iCs w:val="false"/>
          <w:color w:val="1A1A1A"/>
          <w:sz w:val="21"/>
          <w:szCs w:val="21"/>
        </w:rPr>
        <w:t>No. Most users rely on a wallet that connects to existing infrastructure, but Part IV explains what running your own node adds.</w:t>
      </w:r>
    </w:p>
    <w:p>
      <w:pPr>
        <w:pStyle w:val="Heading3"/>
        <w:spacing w:before="200" w:after="90"/>
        <w:rPr/>
      </w:pPr>
      <w:r>
        <w:rPr>
          <w:rFonts w:eastAsia="Calibri" w:cs="Calibri" w:ascii="Calibri" w:hAnsi="Calibri"/>
          <w:b/>
          <w:bCs/>
          <w:color w:val="1A1A1A"/>
          <w:sz w:val="20"/>
          <w:szCs w:val="20"/>
        </w:rPr>
        <w:t>Is this book telling me to buy Zcash?</w:t>
      </w:r>
    </w:p>
    <w:p>
      <w:pPr>
        <w:pStyle w:val="Normal"/>
        <w:spacing w:lineRule="auto" w:line="300" w:before="0" w:after="160"/>
        <w:jc w:val="both"/>
        <w:rPr/>
      </w:pPr>
      <w:r>
        <w:rPr>
          <w:rFonts w:eastAsia="Calibri" w:cs="Calibri"/>
          <w:i w:val="false"/>
          <w:iCs w:val="false"/>
          <w:color w:val="1A1A1A"/>
          <w:sz w:val="21"/>
          <w:szCs w:val="21"/>
        </w:rPr>
        <w:t>No. It is a training resource that lays out the technology, the reasoning, the opportunity, and the risk, and is explicit throughout that this is not financial advice (see Preface and Part XI).</w:t>
      </w:r>
      <w:r>
        <w:br w:type="page"/>
      </w:r>
    </w:p>
    <w:p>
      <w:pPr>
        <w:pStyle w:val="Heading1"/>
        <w:spacing w:before="480" w:after="200"/>
        <w:rPr/>
      </w:pPr>
      <w:r>
        <w:rPr>
          <w:rFonts w:eastAsia="Georgia" w:cs="Georgia" w:ascii="Georgia" w:hAnsi="Georgia"/>
          <w:b/>
          <w:bCs/>
          <w:color w:val="1A1A1A"/>
          <w:sz w:val="32"/>
          <w:szCs w:val="32"/>
        </w:rPr>
        <w:t>Bibliography</w:t>
      </w:r>
    </w:p>
    <w:p>
      <w:pPr>
        <w:pStyle w:val="Normal"/>
        <w:spacing w:lineRule="auto" w:line="300" w:before="0" w:after="160"/>
        <w:jc w:val="both"/>
        <w:rPr/>
      </w:pPr>
      <w:r>
        <w:rPr>
          <w:rFonts w:eastAsia="Calibri" w:cs="Calibri"/>
          <w:i w:val="false"/>
          <w:iCs w:val="false"/>
          <w:color w:val="1A1A1A"/>
          <w:sz w:val="21"/>
          <w:szCs w:val="21"/>
        </w:rPr>
        <w:t>To be compiled in full for the finished manuscript. Will include the original Zerocash and zk-SNARK academic literature, Electric Coin Company and Zcash Foundation technical publications, comparative protocol documentation for Bitcoin, Ethereum, and Monero, European Central Bank and Eurostat statistical releases, National Bank of Belgium data, and primary regulatory texts (MiCA, EU AML directives).</w:t>
      </w:r>
      <w:r>
        <w:br w:type="page"/>
      </w:r>
    </w:p>
    <w:p>
      <w:pPr>
        <w:pStyle w:val="Heading1"/>
        <w:spacing w:before="480" w:after="200"/>
        <w:rPr/>
      </w:pPr>
      <w:r>
        <w:rPr>
          <w:rFonts w:eastAsia="Georgia" w:cs="Georgia" w:ascii="Georgia" w:hAnsi="Georgia"/>
          <w:b/>
          <w:bCs/>
          <w:color w:val="1A1A1A"/>
          <w:sz w:val="32"/>
          <w:szCs w:val="32"/>
        </w:rPr>
        <w:t>Index</w:t>
      </w:r>
    </w:p>
    <w:p>
      <w:pPr>
        <w:pStyle w:val="Normal"/>
        <w:spacing w:lineRule="auto" w:line="300" w:before="0" w:after="160"/>
        <w:jc w:val="both"/>
        <w:rPr/>
      </w:pPr>
      <w:r>
        <w:rPr>
          <w:rFonts w:eastAsia="Calibri" w:cs="Calibri"/>
          <w:i w:val="false"/>
          <w:iCs w:val="false"/>
          <w:color w:val="1A1A1A"/>
          <w:sz w:val="21"/>
          <w:szCs w:val="21"/>
        </w:rPr>
        <w:t xml:space="preserve">To be </w:t>
      </w:r>
      <w:r>
        <w:rPr>
          <w:rFonts w:eastAsia="Calibri" w:cs="Calibri"/>
          <w:i w:val="false"/>
          <w:iCs w:val="false"/>
          <w:color w:val="1A1A1A"/>
          <w:sz w:val="21"/>
          <w:szCs w:val="21"/>
        </w:rPr>
        <w:t>added</w:t>
      </w:r>
      <w:r>
        <w:rPr>
          <w:rFonts w:eastAsia="Calibri" w:cs="Calibri"/>
          <w:i w:val="false"/>
          <w:iCs w:val="false"/>
          <w:color w:val="1A1A1A"/>
          <w:sz w:val="21"/>
          <w:szCs w:val="21"/>
        </w:rPr>
        <w:t xml:space="preserve"> from the finished manuscript's final pagination </w:t>
      </w:r>
      <w:r>
        <w:rPr>
          <w:rFonts w:eastAsia="Calibri" w:cs="Calibri"/>
          <w:i w:val="false"/>
          <w:iCs w:val="false"/>
          <w:color w:val="1A1A1A"/>
          <w:sz w:val="21"/>
          <w:szCs w:val="21"/>
        </w:rPr>
        <w:t>before initial prelaunch update of the preview edition</w:t>
      </w:r>
      <w:r>
        <w:rPr>
          <w:rFonts w:eastAsia="Calibri" w:cs="Calibri"/>
          <w:i w:val="false"/>
          <w:iCs w:val="false"/>
          <w:color w:val="1A1A1A"/>
          <w:sz w:val="21"/>
          <w:szCs w:val="21"/>
        </w:rPr>
        <w: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val="false"/>
        <w:iCs w:val="false"/>
        <w:color w:val="1A1A1A"/>
        <w:sz w:val="21"/>
        <w:szCs w:val="21"/>
      </w:rPr>
      <w:fldChar w:fldCharType="begin"/>
    </w:r>
    <w:r>
      <w:rPr>
        <w:rFonts w:eastAsia="Calibri" w:cs="Calibri"/>
        <w:i w:val="false"/>
        <w:iCs w:val="false"/>
        <w:color w:val="1A1A1A"/>
        <w:sz w:val="21"/>
        <w:szCs w:val="21"/>
      </w:rPr>
      <w:instrText xml:space="preserve"> PAGE </w:instrText>
    </w:r>
    <w:r>
      <w:rPr>
        <w:rFonts w:eastAsia="Calibri" w:cs="Calibri"/>
        <w:i w:val="false"/>
        <w:iCs w:val="false"/>
        <w:color w:val="1A1A1A"/>
        <w:sz w:val="21"/>
        <w:szCs w:val="21"/>
      </w:rPr>
      <w:fldChar w:fldCharType="separate"/>
    </w:r>
    <w:r>
      <w:rPr>
        <w:rFonts w:eastAsia="Calibri" w:cs="Calibri"/>
        <w:i w:val="false"/>
        <w:iCs w:val="false"/>
        <w:color w:val="1A1A1A"/>
        <w:sz w:val="21"/>
        <w:szCs w:val="21"/>
      </w:rPr>
      <w:t>31</w:t>
    </w:r>
    <w:r>
      <w:rPr>
        <w:rFonts w:eastAsia="Calibri" w:cs="Calibri"/>
        <w:i w:val="false"/>
        <w:iCs w:val="false"/>
        <w:color w:val="1A1A1A"/>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i w:val="false"/>
        <w:iCs w:val="false"/>
        <w:color w:val="1A1A1A"/>
        <w:sz w:val="21"/>
        <w:szCs w:val="21"/>
      </w:rPr>
      <w:fldChar w:fldCharType="begin"/>
    </w:r>
    <w:r>
      <w:rPr>
        <w:rFonts w:eastAsia="Calibri" w:cs="Calibri"/>
        <w:i w:val="false"/>
        <w:iCs w:val="false"/>
        <w:color w:val="1A1A1A"/>
        <w:sz w:val="21"/>
        <w:szCs w:val="21"/>
      </w:rPr>
      <w:instrText xml:space="preserve"> PAGE </w:instrText>
    </w:r>
    <w:r>
      <w:rPr>
        <w:rFonts w:eastAsia="Calibri" w:cs="Calibri"/>
        <w:i w:val="false"/>
        <w:iCs w:val="false"/>
        <w:color w:val="1A1A1A"/>
        <w:sz w:val="21"/>
        <w:szCs w:val="21"/>
      </w:rPr>
      <w:fldChar w:fldCharType="separate"/>
    </w:r>
    <w:r>
      <w:rPr>
        <w:rFonts w:eastAsia="Calibri" w:cs="Calibri"/>
        <w:i w:val="false"/>
        <w:iCs w:val="false"/>
        <w:color w:val="1A1A1A"/>
        <w:sz w:val="21"/>
        <w:szCs w:val="21"/>
      </w:rPr>
      <w:t>31</w:t>
    </w:r>
    <w:r>
      <w:rPr>
        <w:rFonts w:eastAsia="Calibri" w:cs="Calibri"/>
        <w:i w:val="false"/>
        <w:iCs w:val="false"/>
        <w:color w:val="1A1A1A"/>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C2B4"/>
      </w:pBdr>
      <w:jc w:val="end"/>
      <w:rPr/>
    </w:pPr>
    <w:r>
      <w:rPr>
        <w:rFonts w:eastAsia="Calibri" w:cs="Calibri"/>
        <w:color w:val="5B5B5B"/>
        <w:sz w:val="14"/>
        <w:szCs w:val="14"/>
      </w:rPr>
      <w:t>ZCASH FOR BELGIANS — PREVIEW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C2B4"/>
      </w:pBdr>
      <w:jc w:val="end"/>
      <w:rPr/>
    </w:pPr>
    <w:r>
      <w:rPr>
        <w:rFonts w:eastAsia="Calibri" w:cs="Calibri"/>
        <w:color w:val="5B5B5B"/>
        <w:sz w:val="14"/>
        <w:szCs w:val="14"/>
      </w:rPr>
      <w:t>ZCASH FOR BELGIANS — PREVIEW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LibreOffice/26.2.1.2$Linux_X86_64 LibreOffice_project/620$Build-2</Application>
  <AppVersion>15.0000</AppVersion>
  <Pages>31</Pages>
  <Words>6885</Words>
  <Characters>38992</Characters>
  <CharactersWithSpaces>45595</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2026-08-01T17:23:15Z</dcterms:created>
  <dc:creator>Sébastien Commain &amp; Bart Preneel</dc:creator>
  <dc:description/>
  <dc:language>en-US</dc:language>
  <cp:lastModifiedBy/>
  <dcterms:modified xsi:type="dcterms:W3CDTF">2026-08-04T17:12:36Z</dcterms:modified>
  <cp:revision>3</cp:revision>
  <dc:subject/>
  <dc:title>Zcash For Belgians — Preview Edition</dc:title>
</cp:coreProperties>
</file>