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A545D6"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negocios?**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datos?**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1. **¿Cuál es el principal objetivo de la inteligencia de negocios?**</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 xml:space="preserve">Las anomalías son patrones o datos que se desvían significativamente del comportamiento esperado en un conjunto de datos. Su detección es fundamental en múltiples áreas, </w:t>
      </w:r>
      <w:bookmarkStart w:id="0" w:name="_GoBack"/>
      <w:bookmarkEnd w:id="0"/>
      <w:r>
        <w:t>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17FCF66A"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sectPr w:rsidR="00665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27272"/>
    <w:rsid w:val="002316B8"/>
    <w:rsid w:val="00263DB1"/>
    <w:rsid w:val="00275707"/>
    <w:rsid w:val="002C61AD"/>
    <w:rsid w:val="002D3F7D"/>
    <w:rsid w:val="00315DFB"/>
    <w:rsid w:val="0033214E"/>
    <w:rsid w:val="003505B2"/>
    <w:rsid w:val="00393B83"/>
    <w:rsid w:val="003D5EF0"/>
    <w:rsid w:val="004248D7"/>
    <w:rsid w:val="00463F1B"/>
    <w:rsid w:val="00470FEC"/>
    <w:rsid w:val="00477CC5"/>
    <w:rsid w:val="00486BA0"/>
    <w:rsid w:val="004C63A8"/>
    <w:rsid w:val="004C77B5"/>
    <w:rsid w:val="004D5288"/>
    <w:rsid w:val="00515E68"/>
    <w:rsid w:val="00525147"/>
    <w:rsid w:val="005533C2"/>
    <w:rsid w:val="005908FC"/>
    <w:rsid w:val="00597EA8"/>
    <w:rsid w:val="005B7585"/>
    <w:rsid w:val="00660A56"/>
    <w:rsid w:val="00665B2D"/>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B2E26"/>
    <w:rsid w:val="00AB7068"/>
    <w:rsid w:val="00AE76A4"/>
    <w:rsid w:val="00B044D1"/>
    <w:rsid w:val="00B16F52"/>
    <w:rsid w:val="00B5221E"/>
    <w:rsid w:val="00B66A35"/>
    <w:rsid w:val="00B769A8"/>
    <w:rsid w:val="00B76FAC"/>
    <w:rsid w:val="00B91362"/>
    <w:rsid w:val="00B92A56"/>
    <w:rsid w:val="00BD1154"/>
    <w:rsid w:val="00C05BFB"/>
    <w:rsid w:val="00C36256"/>
    <w:rsid w:val="00C4158F"/>
    <w:rsid w:val="00CC16EE"/>
    <w:rsid w:val="00CC746C"/>
    <w:rsid w:val="00D031F7"/>
    <w:rsid w:val="00D10EDF"/>
    <w:rsid w:val="00D16914"/>
    <w:rsid w:val="00D36D48"/>
    <w:rsid w:val="00D540DE"/>
    <w:rsid w:val="00D57453"/>
    <w:rsid w:val="00D8342B"/>
    <w:rsid w:val="00D867F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7976</TotalTime>
  <Pages>1</Pages>
  <Words>46416</Words>
  <Characters>255290</Characters>
  <Application>Microsoft Office Word</Application>
  <DocSecurity>0</DocSecurity>
  <Lines>2127</Lines>
  <Paragraphs>602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54</cp:revision>
  <cp:lastPrinted>2024-11-08T12:21:00Z</cp:lastPrinted>
  <dcterms:created xsi:type="dcterms:W3CDTF">2024-10-02T12:20:00Z</dcterms:created>
  <dcterms:modified xsi:type="dcterms:W3CDTF">2024-11-12T13:01:00Z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