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rPr>
          <w:sz w:val="22"/>
          <w:szCs w:val="22"/>
        </w:rP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CloudSec Business Case</w:t>
      </w:r>
    </w:p>
    <w:p>
      <w:pPr>
        <w:pBdr>
          <w:bottom w:val="single" w:color="2E5FA3" w:sz="12" w:space="8"/>
        </w:pBdr>
        <w:spacing w:after="400" w:before="0"/>
        <w:jc w:val="center"/>
      </w:pPr>
      <w:r>
        <w:rPr>
          <w:rFonts w:ascii="Arial" w:cs="Arial" w:eastAsia="Arial" w:hAnsi="Arial"/>
          <w:color w:val="2E5FA3"/>
          <w:sz w:val="28"/>
          <w:szCs w:val="28"/>
        </w:rPr>
        <w:t xml:space="preserve">From Permissive Infrastructure to Verified Cloud Ecosystem</w:t>
      </w:r>
    </w:p>
    <w:p>
      <w:pPr>
        <w:spacing w:after="80" w:before="40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Submitted by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Sebastián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2E5FA3"/>
          <w:sz w:val="24"/>
          <w:szCs w:val="24"/>
        </w:rPr>
        <w:t xml:space="preserve">Cloud Security Engineer Candidate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Addi — CloudSec Business Case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Experience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13+ years in cybersecurity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Current role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Information Security Specialist — Sistecrédito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Previous roles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Senior Security — Holcim ADC (AWS, 3 continents) | Security Manager — Grupo Argos (14 countries)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Specializations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CNAPP/CSPM (CrowdStrike, Wiz) | AWS Security | Azure Security | OT Security | ISO 27001 | Fintech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Education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Telecommunications Engineering — ITM | Specialization in Information Security — UPB (2026)</w:t>
            </w:r>
          </w:p>
        </w:tc>
      </w:tr>
    </w:tbl>
    <w:p>
      <w:pPr>
        <w:spacing w:after="0" w:before="140"/>
      </w:pPr>
    </w:p>
    <w:p>
      <w:pPr>
        <w:spacing w:after="0" w:before="140"/>
      </w:pPr>
    </w:p>
    <w:p>
      <w:pPr>
        <w:spacing w:after="80" w:before="300"/>
        <w:jc w:val="center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Contents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Part I — Strategic Memo (Sections A, B, C)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E5FA3"/>
                <w:sz w:val="20"/>
                <w:szCs w:val="20"/>
              </w:rPr>
              <w:t xml:space="preserve">Page 3</w:t>
            </w:r>
          </w:p>
        </w:tc>
      </w:tr>
      <w:tr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A. Vulnerability Assessment &amp; Blast Radius Containment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Page 3</w:t>
            </w:r>
          </w:p>
        </w:tc>
      </w:tr>
      <w:tr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B. Automated Compliance (Policy-as-Code)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Page 6</w:t>
            </w:r>
          </w:p>
        </w:tc>
      </w:tr>
      <w:tr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C. Zero Trust Identity Perimeter + Auto-Remediation + Break-Glass + SIEM/SOAR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Page 9</w:t>
            </w:r>
          </w:p>
        </w:tc>
      </w:tr>
      <w:tr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Part II — Architectural Diagram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E5FA3"/>
                <w:sz w:val="20"/>
                <w:szCs w:val="20"/>
              </w:rPr>
              <w:t xml:space="preserve">Diagram file</w:t>
            </w:r>
          </w:p>
        </w:tc>
      </w:tr>
      <w:tr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Part III — Strategic README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E5FA3"/>
                <w:sz w:val="20"/>
                <w:szCs w:val="20"/>
              </w:rPr>
              <w:t xml:space="preserve">Page 15</w:t>
            </w:r>
          </w:p>
        </w:tc>
      </w:tr>
      <w:tr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Part IV — Terraform Module (IRSA)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E5FA3"/>
                <w:sz w:val="20"/>
                <w:szCs w:val="20"/>
              </w:rPr>
              <w:t xml:space="preserve">ZIP file</w:t>
            </w:r>
          </w:p>
        </w:tc>
      </w:tr>
    </w:tbl>
    <w:p>
      <w:r>
        <w:br w:type="page"/>
      </w:r>
    </w:p>
    <w:p>
      <w:pPr>
        <w:pBdr>
          <w:bottom w:val="single" w:color="2E5FA3" w:sz="8" w:space="4"/>
        </w:pBdr>
        <w:spacing w:after="240" w:before="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Executive Summary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Addi operates a 1,000+ microservice EKS cluster where all workloads share a single namespace with no internal network segmentation, shared IAM node credentials, no automated compliance validation, and no environment separation. For a company transitioning to a regulated Compañía de Financiamiento under SFC oversight, this architecture represents an unacceptable risk across all three CIA dimensions: a single compromised pod yields unrestricted access to customer PII (confidentiality), financial transaction data (integrity), and payment processing infrastructure (availability).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This business case proposes a four-part strategy to move Addi from its current permissive state to a Verified Cloud Ecosystem — embedding security into infrastructure code, runtime, and identity at every layer.</w:t>
      </w:r>
    </w:p>
    <w:p>
      <w:pPr>
        <w:spacing w:after="0" w:before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200"/>
        <w:gridCol w:w="3640"/>
        <w:gridCol w:w="304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solves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principle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Strategic Memo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Blast radius, lateral movement, automated compliance, Zero Trust identity, incident response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embedded in IaC and runtime — not bolted on after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Architectural Diagram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Multi-account Hub &amp; Spoke, identity flow, inbound defense, Security Data Lake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Security Reference Architecture + Hub and Spoke network model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III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Strategic README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Identity strategy rationale, audit-ready path for SFC, cost of security optimization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evidence generated automatically — not assembled manually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IV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Terraform Module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Reusable IRSA module — translates identity concept into least-privilege infrastructure code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Agent-friendly design — self-service workload identity at 5,000 services</w:t>
            </w:r>
          </w:p>
        </w:tc>
      </w:tr>
    </w:tbl>
    <w:p>
      <w:pPr>
        <w:spacing w:after="0" w:before="140"/>
      </w:pP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The strategy is designed for progressive execution: Phase 0 (visibility — 2 weeks), Phase 1 (namespace segmentation + environment separation — weeks 2-4), Phase 2 (IRSA + ZTNA + RBAC — weeks 4-8), Phase 3 (continuous monitoring + posture enforcement — ongoing). No phase requires downtime. The parallel bridge migration model ensures existing services continue operating throughout.</w:t>
      </w:r>
    </w:p>
    <w:p>
      <w:pPr>
        <w:pBdr>
          <w:bottom w:val="single" w:color="CCCCCC" w:sz="4" w:space="1"/>
        </w:pBdr>
        <w:spacing w:after="200" w:before="200"/>
      </w:pPr>
    </w:p>
    <w:p>
      <w:r>
        <w:br w:type="page"/>
      </w:r>
    </w:p>
    <w:p>
      <w:pPr>
        <w:pBdr>
          <w:bottom w:val="single" w:color="2E5FA3" w:sz="10" w:space="6"/>
        </w:pBdr>
        <w:spacing w:after="240" w:before="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PART I  </w:t>
      </w:r>
      <w:r>
        <w:rPr>
          <w:rFonts w:ascii="Arial" w:cs="Arial" w:eastAsia="Arial" w:hAnsi="Arial"/>
          <w:color w:val="2E5FA3"/>
          <w:sz w:val="26"/>
          <w:szCs w:val="26"/>
        </w:rPr>
        <w:t xml:space="preserve">Strategic Memo — Sections A, B &amp; C</w:t>
      </w:r>
    </w:p>
    <w:p>
      <w:pPr>
        <w:spacing w:after="0" w:before="140"/>
      </w:pPr>
    </w:p>
    <w:p>
      <w:pPr>
        <w:pBdr>
          <w:bottom w:val="single" w:color="A32D2D" w:sz="6" w:space="4"/>
        </w:pBdr>
        <w:spacing w:after="160" w:before="0"/>
      </w:pPr>
      <w:r>
        <w:rPr>
          <w:rFonts w:ascii="Arial" w:cs="Arial" w:eastAsia="Arial" w:hAnsi="Arial"/>
          <w:b/>
          <w:bCs/>
          <w:color w:val="A32D2D"/>
          <w:sz w:val="26"/>
          <w:szCs w:val="26"/>
        </w:rPr>
        <w:t xml:space="preserve">Section A — Vulnerability Assessment &amp; Blast Radius Containment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The following section performs a vulnerability assessment of Addi's current EKS architecture, quantifies the blast radius, and proposes a phased remediation strategy — including environment separation, namespace segmentation, network and IAM controls, and continuous posture monitoring.</w:t>
      </w:r>
    </w:p>
    <w:p>
      <w:pPr>
        <w:spacing w:after="0" w:before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FRAMING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This is treated as a vulnerability assessment of existing infrastructure — not a classic design-time threat model. Addi's cluster is live and processing financial transactions. The appropriate framework is risk-based remediation, not theoretical threat enumeration.</w:t>
            </w:r>
          </w:p>
        </w:tc>
      </w:tr>
    </w:tbl>
    <w:p>
      <w:pPr>
        <w:spacing w:after="0" w:before="14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A.1  Current State — The Single Namespace Problem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All 1,000+ microservices co-located in one namespace. No internal network boundaries. Shared node IAM instance profile. One compromised pod = full cluster + full AWS account access. Blast radius: entire company.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A.2  Risk Analysis — CIA Triad for Addi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Attack scenario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 consequence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Confidentiality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Lateral movement to payments/origination — customer PII, credit scores, biometrics extracted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SFC sanctions, Circular 052 fines, mandatory disclosure, reputational damage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Ransomware via lateral movement encrypts payment pipeline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Credit service down — customers migrate to competitors. SLA breaches with retail partners.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Integrity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Scoring parameters or transaction records modified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Fraudulent credit approvals. Financial losses. Criminal liability.</w:t>
            </w:r>
          </w:p>
        </w:tc>
      </w:tr>
    </w:tbl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A.3  Phase 0 — Visibility Before Action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Three parallel streams before touching anything: (1) microsegmentation tool in observation mode to map real pod-to-pod traffic — the dependency graph for namespace design; (2) IAM Access Analyzer + CloudTrail to audit actual permissions in use — the evidence base for IRSA policies; (3) CNAPP baseline assessment mapped to CIS Benchmarks and PCI-DSS.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PRINCIPLE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You cannot segment what you cannot see. You cannot build least-privilege policies from assumptions. Phase 0 produces the three inputs every subsequent phase depends on.</w:t>
            </w:r>
          </w:p>
        </w:tc>
      </w:tr>
    </w:tbl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A.4  Namespace Architecture — Domain-Driven Segmentation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Based on Phase 0 traffic map and service owner input, microservices are classified into business-domain namespaces: ns/payments, ns/origination, ns/identity, ns/partners, ns/notifications, ns/analytics — ordered by CIA priority.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A.5  Environment Separation — Dev / Staging / Production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Three dedicated EKS clusters: addi-eks-prod (real data, full PCI scope), addi-eks-staging (synthetic data, PCI-equivalent controls), addi-eks-dev (no real data, PCI out of scope). Directly required by PCI-DSS Requirement 6.4. Access matrix enforces role-based environment access — junior engineers never reach production.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A.6  Migration Strategy — Parallel Bridge Model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New namespaces built in parallel while existing services continue running. Migrate domain by domain, highest CIA risk first. Validate against Phase 0 traffic map. Decommission legacy namespace only when traffic reaches zero. Zero downtime. No big-bang migration.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A.7  Network and IAM Controls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Network layer: </w:t>
      </w:r>
      <w:r>
        <w:rPr>
          <w:rFonts w:ascii="Arial" w:cs="Arial" w:eastAsia="Arial" w:hAnsi="Arial"/>
          <w:sz w:val="22"/>
          <w:szCs w:val="22"/>
        </w:rPr>
        <w:t xml:space="preserve">default-deny Network Policies per namespace. Explicit allow-list based on observed traffic.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IAM layer: </w:t>
      </w:r>
      <w:r>
        <w:rPr>
          <w:rFonts w:ascii="Arial" w:cs="Arial" w:eastAsia="Arial" w:hAnsi="Arial"/>
          <w:sz w:val="22"/>
          <w:szCs w:val="22"/>
        </w:rPr>
        <w:t xml:space="preserve">IRSA replaces shared node role. Per-service IAM role with scoped policy. STS tokens, 1-hour TTL.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A.8  Auto-Remediation vs. Manual Review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Availability is a security principle — auto-remediation without context can cause more damage than the misconfiguration it fixes. Production default: manual review for all findings. Auto-remediation only for: S3 public access re-blocking, CloudTrail re-enablement, KMS rotation enforcement. Graduated response model: Critical/High → alert + 4hr SLA in prod; auto-remediate in dev/staging.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A.9  Continuous Posture Monitoring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CNAPP (CrowdStrike Falcon): </w:t>
      </w:r>
      <w:r>
        <w:rPr>
          <w:rFonts w:ascii="Arial" w:cs="Arial" w:eastAsia="Arial" w:hAnsi="Arial"/>
          <w:sz w:val="22"/>
          <w:szCs w:val="22"/>
        </w:rPr>
        <w:t xml:space="preserve">DaemonSet on all nodes — runtime threats, container escapes, privilege escalation.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Microsegmentation tool: </w:t>
      </w:r>
      <w:r>
        <w:rPr>
          <w:rFonts w:ascii="Arial" w:cs="Arial" w:eastAsia="Arial" w:hAnsi="Arial"/>
          <w:sz w:val="22"/>
          <w:szCs w:val="22"/>
        </w:rPr>
        <w:t xml:space="preserve">enforcement mode post-migration. Cross-namespace traffic violations blocked and alerted.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Security Hub: </w:t>
      </w:r>
      <w:r>
        <w:rPr>
          <w:rFonts w:ascii="Arial" w:cs="Arial" w:eastAsia="Arial" w:hAnsi="Arial"/>
          <w:sz w:val="22"/>
          <w:szCs w:val="22"/>
        </w:rPr>
        <w:t xml:space="preserve">continuous CIS Benchmark + PCI-DSS posture scoring. Findings correlated with exploitability.</w:t>
      </w:r>
    </w:p>
    <w:p>
      <w:pPr>
        <w:pBdr>
          <w:bottom w:val="single" w:color="CCCCCC" w:sz="4" w:space="1"/>
        </w:pBdr>
        <w:spacing w:after="200" w:before="200"/>
      </w:pPr>
    </w:p>
    <w:p>
      <w:r>
        <w:br w:type="page"/>
      </w:r>
    </w:p>
    <w:p>
      <w:pPr>
        <w:pBdr>
          <w:bottom w:val="single" w:color="534AB7" w:sz="6" w:space="4"/>
        </w:pBdr>
        <w:spacing w:after="160" w:before="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Section B — Automated Compliance (Policy-as-Code)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B.1  Four-Layer Compliance Pipeline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Manual Terraform reviews cannot scale at 100% YoY growth. The solution is four independent layers — each a backstop for the one before 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400"/>
        <w:gridCol w:w="3480"/>
        <w:gridCol w:w="300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 be bypassed?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guidelines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Written rules per EKS domain: network, identity, secrets, encryption, logging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B4F00"/>
                <w:sz w:val="20"/>
                <w:szCs w:val="20"/>
              </w:rPr>
              <w:t xml:space="preserve">Yes — layers 2-4 enforce anyway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Secure Terraform templates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Pre-approved modules with security baked in. Security born into infrastructure.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B4F00"/>
                <w:sz w:val="20"/>
                <w:szCs w:val="20"/>
              </w:rPr>
              <w:t xml:space="preserve">Yes — Checkov catches deviations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Checkov in CI/CD (GitHub Actions)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Scans every PR against CIS AWS Benchmark v1.5 + PCI-DSS. Blocks Critical/High. Warns Medium.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B4F00"/>
                <w:sz w:val="20"/>
                <w:szCs w:val="20"/>
              </w:rPr>
              <w:t xml:space="preserve">Yes — console bypass → SCP catches it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Service Control Policies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Platform-level deny at AWS Organizations. No developer, tool, or role can override.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— this is the law.</w:t>
            </w:r>
          </w:p>
        </w:tc>
      </w:tr>
    </w:tbl>
    <w:p>
      <w:pPr>
        <w:spacing w:after="0" w:before="14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B.2  Key Checkov Checks for EKS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760"/>
        <w:gridCol w:w="2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 ID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catches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Framework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CKV_AWS_58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EKS secrets encryption not enabled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CIS / PCI-DSS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CKV_AWS_37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EKS control plane logging not enabled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CKV_AWS_19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 bucket without server-side encryption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CIS / PCI-DSS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CKV_AWS_111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IAM policy allows write without resource constraint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PCI-DSS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CKV_K8S_8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Container running as root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CIS Kubernetes</w:t>
            </w:r>
          </w:p>
        </w:tc>
      </w:tr>
    </w:tbl>
    <w:p>
      <w:pPr>
        <w:spacing w:after="0" w:before="14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B.3  SCP Examples (Unbreakable Guardrails)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EKS API server public: </w:t>
      </w:r>
      <w:r>
        <w:rPr>
          <w:rFonts w:ascii="Arial" w:cs="Arial" w:eastAsia="Arial" w:hAnsi="Arial"/>
          <w:sz w:val="22"/>
          <w:szCs w:val="22"/>
        </w:rPr>
        <w:t xml:space="preserve">Deny eks:CreateCluster/UpdateClusterConfig when endpointPublicAccess=true.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S3 public access: </w:t>
      </w:r>
      <w:r>
        <w:rPr>
          <w:rFonts w:ascii="Arial" w:cs="Arial" w:eastAsia="Arial" w:hAnsi="Arial"/>
          <w:sz w:val="22"/>
          <w:szCs w:val="22"/>
        </w:rPr>
        <w:t xml:space="preserve">Deny s3:PutBucketPublicAccessBlock when BlockPublicAcls=false.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CloudTrail disabled: </w:t>
      </w:r>
      <w:r>
        <w:rPr>
          <w:rFonts w:ascii="Arial" w:cs="Arial" w:eastAsia="Arial" w:hAnsi="Arial"/>
          <w:sz w:val="22"/>
          <w:szCs w:val="22"/>
        </w:rPr>
        <w:t xml:space="preserve">Deny cloudtrail:StopLogging / DeleteTrail / UpdateTrail — always.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Out-of-region resources: </w:t>
      </w:r>
      <w:r>
        <w:rPr>
          <w:rFonts w:ascii="Arial" w:cs="Arial" w:eastAsia="Arial" w:hAnsi="Arial"/>
          <w:sz w:val="22"/>
          <w:szCs w:val="22"/>
        </w:rPr>
        <w:t xml:space="preserve">Deny all actions outside approved regions — data residency compliance for SFC.</w:t>
      </w:r>
    </w:p>
    <w:p>
      <w:pPr>
        <w:pBdr>
          <w:bottom w:val="single" w:color="CCCCCC" w:sz="4" w:space="1"/>
        </w:pBdr>
        <w:spacing w:after="200" w:before="200"/>
      </w:pPr>
    </w:p>
    <w:p>
      <w:r>
        <w:br w:type="page"/>
      </w:r>
    </w:p>
    <w:p>
      <w:pPr>
        <w:pBdr>
          <w:bottom w:val="single" w:color="0F6E56" w:sz="6" w:space="4"/>
        </w:pBdr>
        <w:spacing w:after="160" w:before="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Section C — Zero Trust Identity Perimeter + Incident Response</w:t>
      </w:r>
    </w:p>
    <w:p>
      <w:pPr>
        <w:spacing w:after="0" w:before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NIST SP 800-207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Zero trust assumes no implicit trust based on network location. Authentication and authorization are discrete functions performed before every session to an enterprise resource.</w:t>
            </w:r>
          </w:p>
        </w:tc>
      </w:tr>
    </w:tbl>
    <w:p>
      <w:pPr>
        <w:spacing w:after="0" w:before="14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C.1 — C.6  Five Zero Trust Pillars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400"/>
        <w:gridCol w:w="3480"/>
        <w:gridCol w:w="300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Pillar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eliminates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Mechanism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Secrets hygiene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Hardcoded credentials, long-lived access keys anywhere in the system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Secrets Manager + External Secrets Operator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Workload identity (IRSA)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 node roles — lateral movement via IAM credential theft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IRSA: per-service IAM role via OIDC federation + STS (1hr TTL)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Mutual TLS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Unauthenticated service-to-service traffic — spoofing risk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mesh mTLS: permissive mode → strict mode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Environment separation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Dev/prod co-location — PCI-DSS Req 6.4 violation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Dedicated clusters + namespace convention &lt;domain&gt;-&lt;env&gt;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 privileged access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VPN broad access — stolen credential = full network access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ZTNA + Kubernetes RBAC + JIT for production (2hr TTL)</w:t>
            </w:r>
          </w:p>
        </w:tc>
      </w:tr>
    </w:tbl>
    <w:p>
      <w:pPr>
        <w:spacing w:after="0" w:before="14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C.7  Auto-Remediation vs. Manual Review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Production default: manual review for all findings. Auto-remediate only when: operational impact is zero, action is reversible, business context is clear, environment is dev/staging. Safe auto-remediation targets: S3 Block Public Access, CloudTrail re-enablement, KMS rotation, IAM unused permissions (90+ days via Access Analyzer evidence).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INSIGHT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Availability is a CIA security principle. A fintech that auto-remediates a payment service configuration and causes a 30-minute outage has created a security incident — not prevented one.</w:t>
            </w:r>
          </w:p>
        </w:tc>
      </w:tr>
    </w:tbl>
    <w:p>
      <w:pPr>
        <w:spacing w:after="0" w:before="14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C.8  Break-Glass Access (AWS Well-Architected SEC10-BP05)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Pre-provisioned BREAK-GLASS-ROLE in dedicated security account, independent of SSO. MFA (hardware token) required. Time-limited STS session: 2 hours maximum. Automated CloudWatch alert fires immediately to CISO + security channel on activation. Complete CloudTrail + EKS audit log record. Post-incident review within 24 hours. Quarterly drill in staging (AWS WAF SEC10-BP07).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COMPLIANCE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Break-glass does not violate SOC2 or SFC audit requirements. It creates more audit evidence than standard access: pre-defined scope, time-bounded, MFA-enforced, immediate notification, immutable trail.</w:t>
            </w:r>
          </w:p>
        </w:tc>
      </w:tr>
    </w:tbl>
    <w:p>
      <w:pPr>
        <w:spacing w:after="0" w:before="14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C.9  SIEM/SOAR Response Ecosystem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Detection sources: CloudTrail + GuardDuty + Security Hub + EKS audit logs + CrowdStrike CNAPP + WAF logs. Routing via Amazon EventBridge (equivalent to Azure Event Hub). Normalization via Amazon Security Lake (OCSF format). Correlation via CrowdStrike Falcon Next-Gen SIEM. Automated response via EventBridge + Lambda playbooks.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Key use cases: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Malicious IP on EKS API: </w:t>
      </w:r>
      <w:r>
        <w:rPr>
          <w:rFonts w:ascii="Arial" w:cs="Arial" w:eastAsia="Arial" w:hAnsi="Arial"/>
          <w:sz w:val="22"/>
          <w:szCs w:val="22"/>
        </w:rPr>
        <w:t xml:space="preserve">WAF log + GuardDuty finding correlated → Lambda validates against AbuseIPDB (confidence &gt;85%) → WAF IP set auto-block.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Credential compromise: </w:t>
      </w:r>
      <w:r>
        <w:rPr>
          <w:rFonts w:ascii="Arial" w:cs="Arial" w:eastAsia="Arial" w:hAnsi="Arial"/>
          <w:sz w:val="22"/>
          <w:szCs w:val="22"/>
        </w:rPr>
        <w:t xml:space="preserve">GuardDuty unusual geography + CloudTrail Secrets Manager query + EKS exec → SOAR revokes STS session + isolates pod + alerts CISO.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UEBA — behavioral anomaly: </w:t>
      </w:r>
      <w:r>
        <w:rPr>
          <w:rFonts w:ascii="Arial" w:cs="Arial" w:eastAsia="Arial" w:hAnsi="Arial"/>
          <w:sz w:val="22"/>
          <w:szCs w:val="22"/>
        </w:rPr>
        <w:t xml:space="preserve">CloudTrail + EKS audit logs correlate engineer activity patterns. Access at 2am from unusual IP + sensitive namespace exec → P1 alert.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Break-glass outside incident: </w:t>
      </w:r>
      <w:r>
        <w:rPr>
          <w:rFonts w:ascii="Arial" w:cs="Arial" w:eastAsia="Arial" w:hAnsi="Arial"/>
          <w:sz w:val="22"/>
          <w:szCs w:val="22"/>
        </w:rPr>
        <w:t xml:space="preserve">CloudWatch alarm fires → SOAR freezes session + opens P1 investigation.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Security Data Lake: all raw logs flow to dedicated Log Archive account with S3 Object Lock (Compliance mode). Immutable. Retention: 1 year (PCI-DSS) / 7 years (SFC). Production team has zero write access.</w:t>
      </w:r>
    </w:p>
    <w:p>
      <w:pPr>
        <w:pBdr>
          <w:bottom w:val="single" w:color="CCCCCC" w:sz="4" w:space="1"/>
        </w:pBdr>
        <w:spacing w:after="200" w:before="200"/>
      </w:pPr>
    </w:p>
    <w:p>
      <w:r>
        <w:br w:type="page"/>
      </w:r>
    </w:p>
    <w:p>
      <w:pPr>
        <w:pBdr>
          <w:bottom w:val="single" w:color="2E5FA3" w:sz="10" w:space="6"/>
        </w:pBdr>
        <w:spacing w:after="240" w:before="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PART III  </w:t>
      </w:r>
      <w:r>
        <w:rPr>
          <w:rFonts w:ascii="Arial" w:cs="Arial" w:eastAsia="Arial" w:hAnsi="Arial"/>
          <w:color w:val="2E5FA3"/>
          <w:sz w:val="26"/>
          <w:szCs w:val="26"/>
        </w:rPr>
        <w:t xml:space="preserve">Strategic README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 Identity Strategy — Why OIDC + IRSA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IRSA chosen over Pod Identity and IAM Roles Anywhere for four reasons specific to Addi's context: (1) SFC audit requires workload-level CloudTrail attribution — IRSA provides this cryptographically; (2) multi-tenant isolation at namespace level via trust policy pinning; (3) mature IaC integration via Terraform module (Part IV); (4) proven compliance track record in regulated financial services since 2019. IAM Roles Anywhere is not applicable to EKS-native workloads — it is designed for on-premises servers and hybrid workloads accessing AWS.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MIGRATION PATH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IRSA and Pod Identity coexist on the same cluster. When Addi reaches EKS 1.29+ operational maturity, migrate workload-by-workload. No urgency — IRSA has no end-of-life date.</w:t>
            </w:r>
          </w:p>
        </w:tc>
      </w:tr>
    </w:tbl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 Audit-Ready Path for SFC Compañía de Financiamiento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Architecture generates audit evidence automatically. Auditor questions answered by queries, not spreadsheets: access control → CloudTrail + ZTNA logs; least privilege → IAM Access Analyzer reports; encryption → KMS CloudTrail + rotation history; log integrity → S3 Object Lock hash chain; change management → PR scan reports + deployment records; environment separation → AWS Organizations account structure. AWS Audit Manager packages this evidence automatically for PCI-DSS, SOC2, and ISO 27001.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 Cost of Security — Optimization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80"/>
        <w:gridCol w:w="4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Main cost driver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Optimization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CloudTrail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events at scale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Write-only events + ARN filtering for sensitive resources + exclude high-volume service roles via enhanced event selectors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GuardDuty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 protection plans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 only in active regions. EKS + S3 plans mandatory. Others evaluated per risk/cost.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KMS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calls at scale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Envelope encryption + DEK caching (80-90% reduction). AWS managed keys for non-PCI resources.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Lake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Ingestion + long retention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 Intelligent-Tiering. Tiered retention: 90d/1yr/7yr. OCSF compression reduces storage cost.</w:t>
            </w:r>
          </w:p>
        </w:tc>
      </w:tr>
    </w:tbl>
    <w:p>
      <w:pPr>
        <w:pBdr>
          <w:bottom w:val="single" w:color="CCCCCC" w:sz="4" w:space="1"/>
        </w:pBdr>
        <w:spacing w:after="200" w:before="200"/>
      </w:pPr>
    </w:p>
    <w:p>
      <w:r>
        <w:br w:type="page"/>
      </w:r>
    </w:p>
    <w:p>
      <w:pPr>
        <w:pBdr>
          <w:bottom w:val="single" w:color="2E5FA3" w:sz="10" w:space="6"/>
        </w:pBdr>
        <w:spacing w:after="240" w:before="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PART IV  </w:t>
      </w:r>
      <w:r>
        <w:rPr>
          <w:rFonts w:ascii="Arial" w:cs="Arial" w:eastAsia="Arial" w:hAnsi="Arial"/>
          <w:color w:val="2E5FA3"/>
          <w:sz w:val="26"/>
          <w:szCs w:val="26"/>
        </w:rPr>
        <w:t xml:space="preserve">Terraform Module — IRSA Workload Identity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Module: irsa — IAM Role for EKS Service Account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The Terraform module (delivered as a separate ZIP file) creates a least-privilege IAM identity for each EKS microservice. It translates the identity concept from architecture into reusable, agent-friendly infrastructure code.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Inputs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cluster_name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 of the EKS cluster — used to look up the OIDC provider ARN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service_account_name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Kubernetes service account to bind to the IAM role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namespace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Kubernetes namespace where the service account lives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resource_arns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list(string)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of AWS resource ARNs this service is allowed to access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allowed_actions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list(string)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IAM actions to permit on resource_arns (defaults to read-only S3/DynamoDB)</w:t>
            </w:r>
          </w:p>
        </w:tc>
      </w:tr>
    </w:tbl>
    <w:p>
      <w:pPr>
        <w:spacing w:after="0" w:before="1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Usage Example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module "payments_irsa" 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source               = "./modules/irsa"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cluster_name         = "addi-prod"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service_account_name = "payments-svc"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namespace            = "payments"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resource_arns        = ["arn:aws:dynamodb:us-east-1:123456789:table/addi-payments-prod"]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allowed_actions      = ["dynamodb:GetItem", "dynamodb:PutItem", "dynamodb:Query"]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}</w:t>
      </w:r>
    </w:p>
    <w:p>
      <w:pPr>
        <w:spacing w:after="0" w:before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AGENT-FRIENDLY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Variables are typed and self-describing. An AI agent or automation system instantiates a new service identity by supplying four inputs: cluster_name, service_account_name, namespace, resource_arns. No manual boilerplate. Scales to 5,000 services without operational overhead.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What the module creates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Looks up the EKS cluster OIDC provider URL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Creates trust policy: only this specific namespace/service_account can assume the role (two conditions: sub + aud)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Creates IAM Role with that trust policy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Creates least-privilege IAM Policy with only the declared actions on the declared ARNs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Attaches policy to role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Annotates Kubernetes ServiceAccount with eks.amazonaws.com/role-arn</w:t>
      </w:r>
    </w:p>
    <w:p>
      <w:pPr>
        <w:spacing w:after="0" w:before="140"/>
      </w:pP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The EKS pod identity webhook reads the annotation at pod launch time and injects short-lived STS credentials automatically. No application code changes required.</w:t>
      </w:r>
    </w:p>
    <w:p>
      <w:pPr>
        <w:pBdr>
          <w:bottom w:val="single" w:color="CCCCCC" w:sz="4" w:space="1"/>
        </w:pBdr>
        <w:spacing w:after="200" w:before="200"/>
      </w:pPr>
    </w:p>
    <w:p>
      <w:pPr>
        <w:pBdr>
          <w:top w:val="single" w:color="2E5FA3" w:sz="4" w:space="4"/>
        </w:pBdr>
        <w:spacing w:after="60" w:before="1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Sebastián — Cloud Security Engineer Candidate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Sources: AWS Security Reference Architecture | AWS Well-Architected Framework | NIST SP 800-207 | PCI-DSS v4.0 on AWS | CIS AWS Benchmarks | Cloudflare Reference Architecture | CrowdStrike AWS Integration | IBM Cost of a Data Breach 2024 | SFC Circular 052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2026-05-28T04:33:23.574Z</dcterms:created>
  <dcterms:modified xsi:type="dcterms:W3CDTF">2026-05-28T04:33:23.574Z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