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6.png" ContentType="image/png"/>
  <Override PartName="/word/media/rId33.png" ContentType="image/png"/>
  <Override PartName="/word/media/rId11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15.png" ContentType="image/png"/>
  <Override PartName="/word/media/rId1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3bb31f6f61c9df1d0f9ff5331f1499f78e76708"/>
    <w:p>
      <w:pPr>
        <w:pStyle w:val="Heading1"/>
      </w:pPr>
      <w:r>
        <w:t xml:space="preserve">Evolución del mercado laboral y los ingresos en Gran Rosario y Gran Tucumán (2016-2025)</w:t>
      </w:r>
    </w:p>
    <w:p>
      <w:pPr>
        <w:pStyle w:val="FirstParagraph"/>
      </w:pPr>
      <w:r>
        <w:rPr>
          <w:b/>
          <w:bCs/>
        </w:rPr>
        <w:t xml:space="preserve">Materia:</w:t>
      </w:r>
      <w:r>
        <w:t xml:space="preserve"> </w:t>
      </w:r>
      <w:r>
        <w:t xml:space="preserve">Introducción al Análisis de Datos - TUP, UTN</w:t>
      </w:r>
      <w:r>
        <w:t xml:space="preserve"> </w:t>
      </w:r>
      <w:r>
        <w:rPr>
          <w:b/>
          <w:bCs/>
        </w:rPr>
        <w:t xml:space="preserve">Trabajo práctico final (2º parcial)</w:t>
      </w:r>
      <w:r>
        <w:t xml:space="preserve"> </w:t>
      </w:r>
      <w:r>
        <w:t xml:space="preserve">· Docente: Luis N. Fernández</w:t>
      </w:r>
      <w:r>
        <w:t xml:space="preserve"> </w:t>
      </w:r>
      <w:r>
        <w:rPr>
          <w:b/>
          <w:bCs/>
        </w:rPr>
        <w:t xml:space="preserve">Integrantes:</w:t>
      </w:r>
      <w:r>
        <w:t xml:space="preserve"> </w:t>
      </w:r>
      <w:r>
        <w:t xml:space="preserve">Tomás Canela, Laura Carelli, Sebastián Hernández, Lautaro</w:t>
      </w:r>
      <w:r>
        <w:t xml:space="preserve"> </w:t>
      </w:r>
      <w:r>
        <w:rPr>
          <w:b/>
          <w:bCs/>
        </w:rPr>
        <w:t xml:space="preserve">Fuente:</w:t>
      </w:r>
      <w:r>
        <w:t xml:space="preserve"> </w:t>
      </w:r>
      <w:r>
        <w:t xml:space="preserve">Encuesta Permanente de Hogares (EPH), INDEC - base individual de aglomerados, todos los trimestres disponibles entre 2016 y 2025.</w:t>
      </w:r>
    </w:p>
    <w:p>
      <w:r>
        <w:pict>
          <v:rect style="width:0;height:1.5pt" o:hralign="center" o:hrstd="t" o:hr="t"/>
        </w:pict>
      </w:r>
    </w:p>
    <w:bookmarkStart w:id="9" w:name="introducción-y-datos"/>
    <w:p>
      <w:pPr>
        <w:pStyle w:val="Heading2"/>
      </w:pPr>
      <w:r>
        <w:t xml:space="preserve">1. Introducción y datos</w:t>
      </w:r>
    </w:p>
    <w:p>
      <w:pPr>
        <w:pStyle w:val="FirstParagraph"/>
      </w:pPr>
      <w:r>
        <w:t xml:space="preserve">Se analiza la evolución de la tasa de actividad, la tasa de empleo, la tasa de desocupación y los ingresos de la población en dos aglomerados urbanos,</w:t>
      </w:r>
      <w:r>
        <w:t xml:space="preserve"> </w:t>
      </w:r>
      <w:r>
        <w:rPr>
          <w:b/>
          <w:bCs/>
        </w:rPr>
        <w:t xml:space="preserve">Gran Rosario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Gran Tucumán</w:t>
      </w:r>
      <w:r>
        <w:t xml:space="preserve">, a partir de las bases de microdatos individuales de la EPH. Se procesaron</w:t>
      </w:r>
      <w:r>
        <w:t xml:space="preserve"> </w:t>
      </w:r>
      <w:r>
        <w:rPr>
          <w:b/>
          <w:bCs/>
        </w:rPr>
        <w:t xml:space="preserve">38 bases trimestrales</w:t>
      </w:r>
      <w:r>
        <w:t xml:space="preserve"> </w:t>
      </w:r>
      <w:r>
        <w:t xml:space="preserve">entre 2016 y 2025. El número de registros (personas) analizados 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Aglomerado</w:t>
            </w:r>
          </w:p>
        </w:tc>
        <w:tc>
          <w:tcPr/>
          <w:p>
            <w:pPr>
              <w:pStyle w:val="Compact"/>
            </w:pPr>
            <w: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Gran Rosario</w:t>
            </w:r>
          </w:p>
        </w:tc>
        <w:tc>
          <w:tcPr/>
          <w:p>
            <w:pPr>
              <w:pStyle w:val="Compact"/>
            </w:pPr>
            <w:r>
              <w:t xml:space="preserve">69.735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Gran Tucumán</w:t>
            </w:r>
          </w:p>
        </w:tc>
        <w:tc>
          <w:tcPr/>
          <w:p>
            <w:pPr>
              <w:pStyle w:val="Compact"/>
            </w:pPr>
            <w:r>
              <w:t xml:space="preserve">83.478</w:t>
            </w:r>
          </w:p>
        </w:tc>
      </w:tr>
    </w:tbl>
    <w:p>
      <w:pPr>
        <w:pStyle w:val="BodyText"/>
      </w:pPr>
      <w:r>
        <w:t xml:space="preserve">Las tasas se construyen ponderando cada registro por el factor de expansión</w:t>
      </w:r>
      <w:r>
        <w:t xml:space="preserve"> </w:t>
      </w:r>
      <w:r>
        <w:rPr>
          <w:rStyle w:val="VerbatimChar"/>
        </w:rPr>
        <w:t xml:space="preserve">PONDERA</w:t>
      </w:r>
      <w:r>
        <w:t xml:space="preserve">. Las tablas de este informe presentan</w:t>
      </w:r>
      <w:r>
        <w:t xml:space="preserve"> </w:t>
      </w:r>
      <w:r>
        <w:rPr>
          <w:b/>
          <w:bCs/>
        </w:rPr>
        <w:t xml:space="preserve">promedios anuales</w:t>
      </w:r>
      <w:r>
        <w:t xml:space="preserve"> </w:t>
      </w:r>
      <w:r>
        <w:t xml:space="preserve">de los valores trimestrales; los gráficos muestran la serie trimestral completa.</w:t>
      </w:r>
    </w:p>
    <w:p>
      <w:r>
        <w:pict>
          <v:rect style="width:0;height:1.5pt" o:hralign="center" o:hrstd="t" o:hr="t"/>
        </w:pict>
      </w:r>
    </w:p>
    <w:bookmarkEnd w:id="9"/>
    <w:bookmarkStart w:id="10" w:name="metodología"/>
    <w:p>
      <w:pPr>
        <w:pStyle w:val="Heading2"/>
      </w:pPr>
      <w:r>
        <w:t xml:space="preserve">2. Metodología</w:t>
      </w:r>
    </w:p>
    <w:p>
      <w:pPr>
        <w:pStyle w:val="FirstParagraph"/>
      </w:pPr>
      <w:r>
        <w:t xml:space="preserve">Indicadores del mercado laboral (definiciones del INDEC):</w:t>
      </w:r>
    </w:p>
    <w:p>
      <w:pPr>
        <w:pStyle w:val="Compact"/>
        <w:numPr>
          <w:ilvl w:val="0"/>
          <w:numId w:val="1001"/>
        </w:numPr>
      </w:pPr>
      <w:r>
        <w:t xml:space="preserve">PEA (población económicamente activa) = ocupados + desocupados.</w:t>
      </w:r>
    </w:p>
    <w:p>
      <w:pPr>
        <w:pStyle w:val="Compact"/>
        <w:numPr>
          <w:ilvl w:val="0"/>
          <w:numId w:val="1001"/>
        </w:numPr>
      </w:pPr>
      <w:r>
        <w:t xml:space="preserve">Tasa de actividad = PEA / población total.</w:t>
      </w:r>
    </w:p>
    <w:p>
      <w:pPr>
        <w:pStyle w:val="Compact"/>
        <w:numPr>
          <w:ilvl w:val="0"/>
          <w:numId w:val="1001"/>
        </w:numPr>
      </w:pPr>
      <w:r>
        <w:t xml:space="preserve">Tasa de empleo = ocupados / población total.</w:t>
      </w:r>
    </w:p>
    <w:p>
      <w:pPr>
        <w:pStyle w:val="Compact"/>
        <w:numPr>
          <w:ilvl w:val="0"/>
          <w:numId w:val="1001"/>
        </w:numPr>
      </w:pPr>
      <w:r>
        <w:t xml:space="preserve">Tasa de desocupación = desocupados / PEA.</w:t>
      </w:r>
    </w:p>
    <w:p>
      <w:pPr>
        <w:pStyle w:val="FirstParagraph"/>
      </w:pPr>
      <w:r>
        <w:t xml:space="preserve">La condición de actividad se toma de la variable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 Los ingresos nominales se deflactan con el</w:t>
      </w:r>
      <w:r>
        <w:t xml:space="preserve"> </w:t>
      </w:r>
      <w:r>
        <w:rPr>
          <w:b/>
          <w:bCs/>
        </w:rPr>
        <w:t xml:space="preserve">IPC Nivel General del INDEC</w:t>
      </w:r>
      <w:r>
        <w:t xml:space="preserve"> </w:t>
      </w:r>
      <w:r>
        <w:t xml:space="preserve">(promedio de cada trimestre) y se expresan en</w:t>
      </w:r>
      <w:r>
        <w:t xml:space="preserve"> </w:t>
      </w:r>
      <w:r>
        <w:rPr>
          <w:b/>
          <w:bCs/>
        </w:rPr>
        <w:t xml:space="preserve">pesos del 4º trimestre de 2025</w:t>
      </w:r>
      <w:r>
        <w:t xml:space="preserve">:</w:t>
      </w:r>
    </w:p>
    <w:p>
      <w:pPr>
        <w:pStyle w:val="BlockText"/>
      </w:pPr>
      <w:r>
        <w:t xml:space="preserve">ingreso real = ingreso nominal x (IPC del período base / IPC del período)</w:t>
      </w:r>
    </w:p>
    <w:p>
      <w:pPr>
        <w:pStyle w:val="FirstParagraph"/>
      </w:pPr>
      <w:r>
        <w:t xml:space="preserve">El IPC de 2016 se empalma con el IPC-GBA (igual base, diciembre 2016 = 100), dado que la serie nacional comienza en diciembre de 2016. La no respuesta a los montos de ingreso se identifica con el código</w:t>
      </w:r>
      <w:r>
        <w:t xml:space="preserve"> </w:t>
      </w:r>
      <w:r>
        <w:rPr>
          <w:b/>
          <w:bCs/>
        </w:rPr>
        <w:t xml:space="preserve">-9</w:t>
      </w:r>
      <w:r>
        <w:t xml:space="preserve"> </w:t>
      </w:r>
      <w:r>
        <w:t xml:space="preserve">y se excluye del cálculo de promedios.</w:t>
      </w:r>
    </w:p>
    <w:p>
      <w:r>
        <w:pict>
          <v:rect style="width:0;height:1.5pt" o:hralign="center" o:hrstd="t" o:hr="t"/>
        </w:pict>
      </w:r>
    </w:p>
    <w:bookmarkEnd w:id="10"/>
    <w:bookmarkStart w:id="22" w:name="X6740c618aa953809a39d176b3ecfceff40eb94d"/>
    <w:p>
      <w:pPr>
        <w:pStyle w:val="Heading2"/>
      </w:pPr>
      <w:r>
        <w:t xml:space="preserve">3. Objetivo 1 - Análisis univariado: no respuesta y valores atípicos</w:t>
      </w:r>
    </w:p>
    <w:bookmarkStart w:id="14" w:name="no-respuesta-a-ingresos"/>
    <w:p>
      <w:pPr>
        <w:pStyle w:val="Heading3"/>
      </w:pPr>
      <w:r>
        <w:t xml:space="preserve">3.1 No respuesta a ingresos</w:t>
      </w:r>
    </w:p>
    <w:p>
      <w:pPr>
        <w:pStyle w:val="FirstParagraph"/>
      </w:pPr>
      <w:r>
        <w:t xml:space="preserve">La proporción de ocupados que no declara su ingreso de la ocupación principal (</w:t>
      </w:r>
      <w:r>
        <w:rPr>
          <w:rStyle w:val="VerbatimChar"/>
        </w:rPr>
        <w:t xml:space="preserve">P21</w:t>
      </w:r>
      <w:r>
        <w:t xml:space="preserve"> </w:t>
      </w:r>
      <w:r>
        <w:t xml:space="preserve">= -9) se presenta por trimestre: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No respuesta a ingresos" title="" id="12" name="Picture"/>
            <a:graphic>
              <a:graphicData uri="http://schemas.openxmlformats.org/drawingml/2006/picture">
                <pic:pic>
                  <pic:nvPicPr>
                    <pic:cNvPr descr="output/graficos/06_no_respue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 respuesta a ingresos</w:t>
      </w:r>
    </w:p>
    <w:p>
      <w:pPr>
        <w:pStyle w:val="BodyText"/>
      </w:pPr>
      <w:r>
        <w:t xml:space="preserve">En Gran Rosario el porcentaje de no respuesta alcanza un máximo de 46,2% y en Gran Tucumán un máximo de 17,1% a lo largo del período analizado.</w:t>
      </w:r>
    </w:p>
    <w:bookmarkEnd w:id="14"/>
    <w:bookmarkStart w:id="21" w:name="valores-atípicos-outliers"/>
    <w:p>
      <w:pPr>
        <w:pStyle w:val="Heading3"/>
      </w:pPr>
      <w:r>
        <w:t xml:space="preserve">3.2 Valores atípicos (outliers)</w:t>
      </w:r>
    </w:p>
    <w:p>
      <w:pPr>
        <w:pStyle w:val="FirstParagraph"/>
      </w:pPr>
      <w:r>
        <w:t xml:space="preserve">Se aplicó el método del rango intercuartílico (IQR) sobre el ingreso real, considerando atípico todo valor por debajo de Q1 - 1,5 x IQR o por encima de Q3 + 1,5 x IQR: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Aglomerado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Límite sup.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Máx.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 Rosario</w:t>
            </w:r>
          </w:p>
        </w:tc>
        <w:tc>
          <w:tcPr/>
          <w:p>
            <w:pPr>
              <w:pStyle w:val="Compact"/>
            </w:pPr>
            <w:r>
              <w:t xml:space="preserve">$724.818</w:t>
            </w:r>
          </w:p>
        </w:tc>
        <w:tc>
          <w:tcPr/>
          <w:p>
            <w:pPr>
              <w:pStyle w:val="Compact"/>
            </w:pPr>
            <w:r>
              <w:t xml:space="preserve">$439.618</w:t>
            </w:r>
          </w:p>
        </w:tc>
        <w:tc>
          <w:tcPr/>
          <w:p>
            <w:pPr>
              <w:pStyle w:val="Compact"/>
            </w:pPr>
            <w:r>
              <w:t xml:space="preserve">$1.191.695</w:t>
            </w:r>
          </w:p>
        </w:tc>
        <w:tc>
          <w:tcPr/>
          <w:p>
            <w:pPr>
              <w:pStyle w:val="Compact"/>
            </w:pPr>
            <w:r>
              <w:t xml:space="preserve">$2.319.811</w:t>
            </w:r>
          </w:p>
        </w:tc>
        <w:tc>
          <w:tcPr/>
          <w:p>
            <w:pPr>
              <w:pStyle w:val="Compact"/>
            </w:pPr>
            <w:r>
              <w:t xml:space="preserve">1606</w:t>
            </w:r>
          </w:p>
        </w:tc>
        <w:tc>
          <w:tcPr/>
          <w:p>
            <w:pPr>
              <w:pStyle w:val="Compact"/>
            </w:pPr>
            <w:r>
              <w:t xml:space="preserve">4,8%</w:t>
            </w:r>
          </w:p>
        </w:tc>
        <w:tc>
          <w:tcPr/>
          <w:p>
            <w:pPr>
              <w:pStyle w:val="Compact"/>
            </w:pPr>
            <w:r>
              <w:t xml:space="preserve">40,1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 Tucumán</w:t>
            </w:r>
          </w:p>
        </w:tc>
        <w:tc>
          <w:tcPr/>
          <w:p>
            <w:pPr>
              <w:pStyle w:val="Compact"/>
            </w:pPr>
            <w:r>
              <w:t xml:space="preserve">$560.909</w:t>
            </w:r>
          </w:p>
        </w:tc>
        <w:tc>
          <w:tcPr/>
          <w:p>
            <w:pPr>
              <w:pStyle w:val="Compact"/>
            </w:pPr>
            <w:r>
              <w:t xml:space="preserve">$339.123</w:t>
            </w:r>
          </w:p>
        </w:tc>
        <w:tc>
          <w:tcPr/>
          <w:p>
            <w:pPr>
              <w:pStyle w:val="Compact"/>
            </w:pPr>
            <w:r>
              <w:t xml:space="preserve">$961.834</w:t>
            </w:r>
          </w:p>
        </w:tc>
        <w:tc>
          <w:tcPr/>
          <w:p>
            <w:pPr>
              <w:pStyle w:val="Compact"/>
            </w:pPr>
            <w:r>
              <w:t xml:space="preserve">$1.895.902</w:t>
            </w:r>
          </w:p>
        </w:tc>
        <w:tc>
          <w:tcPr/>
          <w:p>
            <w:pPr>
              <w:pStyle w:val="Compact"/>
            </w:pPr>
            <w:r>
              <w:t xml:space="preserve">2465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  <w:tc>
          <w:tcPr/>
          <w:p>
            <w:pPr>
              <w:pStyle w:val="Compact"/>
            </w:pPr>
            <w:r>
              <w:t xml:space="preserve">43,8 M</w:t>
            </w:r>
          </w:p>
        </w:tc>
      </w:tr>
    </w:tbl>
    <w:p>
      <w:pPr>
        <w:pStyle w:val="BodyText"/>
      </w:pPr>
      <w:r>
        <w:t xml:space="preserve">La distribución del ingreso y sus valores atípicos se observan en el siguiente diagrama de cajas (escala logarítmica, que permite visualizar el rango completo):</w:t>
      </w:r>
    </w:p>
    <w:p>
      <w:pPr>
        <w:pStyle w:val="CaptionedFigure"/>
      </w:pPr>
      <w:r>
        <w:drawing>
          <wp:inline>
            <wp:extent cx="5334000" cy="3667125"/>
            <wp:effectExtent b="0" l="0" r="0" t="0"/>
            <wp:docPr descr="Distribución del ingreso real por aglomerado" title="" id="16" name="Picture"/>
            <a:graphic>
              <a:graphicData uri="http://schemas.openxmlformats.org/drawingml/2006/picture">
                <pic:pic>
                  <pic:nvPicPr>
                    <pic:cNvPr descr="output/graficos/10_boxplot_aglomerado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Distribución del ingreso real por aglomerado</w:t>
      </w:r>
    </w:p>
    <w:p>
      <w:pPr>
        <w:pStyle w:val="BodyText"/>
      </w:pPr>
      <w:r>
        <w:t xml:space="preserve">El diagrama de cajas por año muestra cómo se desplaza la distribución a lo largo del tiempo: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stribución del ingreso real por año" title="" id="19" name="Picture"/>
            <a:graphic>
              <a:graphicData uri="http://schemas.openxmlformats.org/drawingml/2006/picture">
                <pic:pic>
                  <pic:nvPicPr>
                    <pic:cNvPr descr="output/graficos/11_boxplot_anua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Distribución del ingreso real por año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50" w:name="X3c5e7c031efc4007f3a8a0da54ec12a7adf34c3"/>
    <w:p>
      <w:pPr>
        <w:pStyle w:val="Heading2"/>
      </w:pPr>
      <w:r>
        <w:t xml:space="preserve">4. Objetivo 2 - Evolución de los indicadores</w:t>
      </w:r>
    </w:p>
    <w:bookmarkStart w:id="32" w:name="tasas-del-mercado-laboral"/>
    <w:p>
      <w:pPr>
        <w:pStyle w:val="Heading3"/>
      </w:pPr>
      <w:r>
        <w:t xml:space="preserve">4.1 Tasas del mercado laboral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Tasa de actividad" title="" id="24" name="Picture"/>
            <a:graphic>
              <a:graphicData uri="http://schemas.openxmlformats.org/drawingml/2006/picture">
                <pic:pic>
                  <pic:nvPicPr>
                    <pic:cNvPr descr="output/graficos/01_activida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Tasa de actividad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Tasa de empleo" title="" id="27" name="Picture"/>
            <a:graphic>
              <a:graphicData uri="http://schemas.openxmlformats.org/drawingml/2006/picture">
                <pic:pic>
                  <pic:nvPicPr>
                    <pic:cNvPr descr="output/graficos/02_emple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Tasa de empleo</w:t>
      </w:r>
    </w:p>
    <w:p>
      <w:pPr>
        <w:pStyle w:val="BodyText"/>
      </w:pPr>
      <w:r>
        <w:t xml:space="preserve">Tasa de empleo (promedio anual,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Gran Rosario</w:t>
            </w:r>
          </w:p>
        </w:tc>
        <w:tc>
          <w:tcPr/>
          <w:p>
            <w:pPr>
              <w:pStyle w:val="Compact"/>
            </w:pPr>
            <w:r>
              <w:t xml:space="preserve">Gran Tucumán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43,3%</w:t>
            </w:r>
          </w:p>
        </w:tc>
        <w:tc>
          <w:tcPr/>
          <w:p>
            <w:pPr>
              <w:pStyle w:val="Compact"/>
            </w:pPr>
            <w:r>
              <w:t xml:space="preserve">40,8%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42,8%</w:t>
            </w:r>
          </w:p>
        </w:tc>
        <w:tc>
          <w:tcPr/>
          <w:p>
            <w:pPr>
              <w:pStyle w:val="Compact"/>
            </w:pPr>
            <w:r>
              <w:t xml:space="preserve">40,7%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43,1%</w:t>
            </w:r>
          </w:p>
        </w:tc>
        <w:tc>
          <w:tcPr/>
          <w:p>
            <w:pPr>
              <w:pStyle w:val="Compact"/>
            </w:pPr>
            <w:r>
              <w:t xml:space="preserve">40,6%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42,2%</w:t>
            </w:r>
          </w:p>
        </w:tc>
        <w:tc>
          <w:tcPr/>
          <w:p>
            <w:pPr>
              <w:pStyle w:val="Compact"/>
            </w:pPr>
            <w:r>
              <w:t xml:space="preserve">41,0%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39,8%</w:t>
            </w:r>
          </w:p>
        </w:tc>
        <w:tc>
          <w:tcPr/>
          <w:p>
            <w:pPr>
              <w:pStyle w:val="Compact"/>
            </w:pPr>
            <w:r>
              <w:t xml:space="preserve">36,0%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45,0%</w:t>
            </w:r>
          </w:p>
        </w:tc>
        <w:tc>
          <w:tcPr/>
          <w:p>
            <w:pPr>
              <w:pStyle w:val="Compact"/>
            </w:pPr>
            <w:r>
              <w:t xml:space="preserve">38,9%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  <w:tc>
          <w:tcPr/>
          <w:p>
            <w:pPr>
              <w:pStyle w:val="Compact"/>
            </w:pPr>
            <w:r>
              <w:t xml:space="preserve">41,7%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46,8%</w:t>
            </w:r>
          </w:p>
        </w:tc>
        <w:tc>
          <w:tcPr/>
          <w:p>
            <w:pPr>
              <w:pStyle w:val="Compact"/>
            </w:pPr>
            <w:r>
              <w:t xml:space="preserve">45,0%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47,0%</w:t>
            </w:r>
          </w:p>
        </w:tc>
        <w:tc>
          <w:tcPr/>
          <w:p>
            <w:pPr>
              <w:pStyle w:val="Compact"/>
            </w:pPr>
            <w:r>
              <w:t xml:space="preserve">43,5%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48,3%</w:t>
            </w:r>
          </w:p>
        </w:tc>
        <w:tc>
          <w:tcPr/>
          <w:p>
            <w:pPr>
              <w:pStyle w:val="Compact"/>
            </w:pPr>
            <w:r>
              <w:t xml:space="preserve">45,1%</w:t>
            </w:r>
          </w:p>
        </w:tc>
      </w:tr>
    </w:tbl>
    <w:p>
      <w:pPr>
        <w:pStyle w:val="CaptionedFigure"/>
      </w:pPr>
      <w:r>
        <w:drawing>
          <wp:inline>
            <wp:extent cx="5334000" cy="2773680"/>
            <wp:effectExtent b="0" l="0" r="0" t="0"/>
            <wp:docPr descr="Tasa de desocupación" title="" id="30" name="Picture"/>
            <a:graphic>
              <a:graphicData uri="http://schemas.openxmlformats.org/drawingml/2006/picture">
                <pic:pic>
                  <pic:nvPicPr>
                    <pic:cNvPr descr="output/graficos/03_desocupac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Tasa de desocupación</w:t>
      </w:r>
    </w:p>
    <w:p>
      <w:pPr>
        <w:pStyle w:val="BodyText"/>
      </w:pPr>
      <w:r>
        <w:t xml:space="preserve">Tasa de desocupación (promedio anual,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Gran Rosario</w:t>
            </w:r>
          </w:p>
        </w:tc>
        <w:tc>
          <w:tcPr/>
          <w:p>
            <w:pPr>
              <w:pStyle w:val="Compact"/>
            </w:pPr>
            <w:r>
              <w:t xml:space="preserve">Gran Tucumán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9,8%</w:t>
            </w:r>
          </w:p>
        </w:tc>
        <w:tc>
          <w:tcPr/>
          <w:p>
            <w:pPr>
              <w:pStyle w:val="Compact"/>
            </w:pPr>
            <w:r>
              <w:t xml:space="preserve">7,6%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9,2%</w:t>
            </w:r>
          </w:p>
        </w:tc>
        <w:tc>
          <w:tcPr/>
          <w:p>
            <w:pPr>
              <w:pStyle w:val="Compact"/>
            </w:pPr>
            <w:r>
              <w:t xml:space="preserve">6,8%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9,5%</w:t>
            </w:r>
          </w:p>
        </w:tc>
        <w:tc>
          <w:tcPr/>
          <w:p>
            <w:pPr>
              <w:pStyle w:val="Compact"/>
            </w:pPr>
            <w:r>
              <w:t xml:space="preserve">7,6%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9,9%</w:t>
            </w:r>
          </w:p>
        </w:tc>
        <w:tc>
          <w:tcPr/>
          <w:p>
            <w:pPr>
              <w:pStyle w:val="Compact"/>
            </w:pPr>
            <w:r>
              <w:t xml:space="preserve">10,5%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13,9%</w:t>
            </w:r>
          </w:p>
        </w:tc>
        <w:tc>
          <w:tcPr/>
          <w:p>
            <w:pPr>
              <w:pStyle w:val="Compact"/>
            </w:pPr>
            <w:r>
              <w:t xml:space="preserve">11,0%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9,4%</w:t>
            </w:r>
          </w:p>
        </w:tc>
        <w:tc>
          <w:tcPr/>
          <w:p>
            <w:pPr>
              <w:pStyle w:val="Compact"/>
            </w:pPr>
            <w:r>
              <w:t xml:space="preserve">11,1%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6,1%</w:t>
            </w:r>
          </w:p>
        </w:tc>
        <w:tc>
          <w:tcPr/>
          <w:p>
            <w:pPr>
              <w:pStyle w:val="Compact"/>
            </w:pPr>
            <w:r>
              <w:t xml:space="preserve">7,6%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5,1%</w:t>
            </w:r>
          </w:p>
        </w:tc>
        <w:tc>
          <w:tcPr/>
          <w:p>
            <w:pPr>
              <w:pStyle w:val="Compact"/>
            </w:pPr>
            <w:r>
              <w:t xml:space="preserve">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6,2%</w:t>
            </w:r>
          </w:p>
        </w:tc>
        <w:tc>
          <w:tcPr/>
          <w:p>
            <w:pPr>
              <w:pStyle w:val="Compact"/>
            </w:pPr>
            <w:r>
              <w:t xml:space="preserve">6,6%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7,5%</w:t>
            </w:r>
          </w:p>
        </w:tc>
        <w:tc>
          <w:tcPr/>
          <w:p>
            <w:pPr>
              <w:pStyle w:val="Compact"/>
            </w:pPr>
            <w:r>
              <w:t xml:space="preserve">6,0%</w:t>
            </w:r>
          </w:p>
        </w:tc>
      </w:tr>
    </w:tbl>
    <w:bookmarkEnd w:id="32"/>
    <w:bookmarkStart w:id="39" w:name="ingresos-reales"/>
    <w:p>
      <w:pPr>
        <w:pStyle w:val="Heading3"/>
      </w:pPr>
      <w:r>
        <w:t xml:space="preserve">4.2 Ingresos reales</w:t>
      </w:r>
    </w:p>
    <w:p>
      <w:pPr>
        <w:pStyle w:val="FirstParagraph"/>
      </w:pPr>
      <w:r>
        <w:t xml:space="preserve">La comparación entre el ingreso nominal y el ingreso real (deflactado) se presenta a continuación: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Ingreso nominal vs real" title="" id="34" name="Picture"/>
            <a:graphic>
              <a:graphicData uri="http://schemas.openxmlformats.org/drawingml/2006/picture">
                <pic:pic>
                  <pic:nvPicPr>
                    <pic:cNvPr descr="output/graficos/05_nominal_vs_re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Ingreso nominal vs real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Ingreso real mediano" title="" id="37" name="Picture"/>
            <a:graphic>
              <a:graphicData uri="http://schemas.openxmlformats.org/drawingml/2006/picture">
                <pic:pic>
                  <pic:nvPicPr>
                    <pic:cNvPr descr="output/graficos/04_ingreso_re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Ingreso real mediano</w:t>
      </w:r>
    </w:p>
    <w:p>
      <w:pPr>
        <w:pStyle w:val="BodyText"/>
      </w:pPr>
      <w:r>
        <w:t xml:space="preserve">Ingreso mediano real (promedio anual, pesos del 4º trimestre de 2025):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Gran Rosario</w:t>
            </w:r>
          </w:p>
        </w:tc>
        <w:tc>
          <w:tcPr/>
          <w:p>
            <w:pPr>
              <w:pStyle w:val="Compact"/>
            </w:pPr>
            <w:r>
              <w:t xml:space="preserve">Gran Tucumán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$732.281</w:t>
            </w:r>
          </w:p>
        </w:tc>
        <w:tc>
          <w:tcPr/>
          <w:p>
            <w:pPr>
              <w:pStyle w:val="Compact"/>
            </w:pPr>
            <w:r>
              <w:t xml:space="preserve">$649.856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$804.198</w:t>
            </w:r>
          </w:p>
        </w:tc>
        <w:tc>
          <w:tcPr/>
          <w:p>
            <w:pPr>
              <w:pStyle w:val="Compact"/>
            </w:pPr>
            <w:r>
              <w:t xml:space="preserve">$698.206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$809.122</w:t>
            </w:r>
          </w:p>
        </w:tc>
        <w:tc>
          <w:tcPr/>
          <w:p>
            <w:pPr>
              <w:pStyle w:val="Compact"/>
            </w:pPr>
            <w:r>
              <w:t xml:space="preserve">$674.631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$751.713</w:t>
            </w:r>
          </w:p>
        </w:tc>
        <w:tc>
          <w:tcPr/>
          <w:p>
            <w:pPr>
              <w:pStyle w:val="Compact"/>
            </w:pPr>
            <w:r>
              <w:t xml:space="preserve">$573.144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$711.370</w:t>
            </w:r>
          </w:p>
        </w:tc>
        <w:tc>
          <w:tcPr/>
          <w:p>
            <w:pPr>
              <w:pStyle w:val="Compact"/>
            </w:pPr>
            <w:r>
              <w:t xml:space="preserve">$570.629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$715.292</w:t>
            </w:r>
          </w:p>
        </w:tc>
        <w:tc>
          <w:tcPr/>
          <w:p>
            <w:pPr>
              <w:pStyle w:val="Compact"/>
            </w:pPr>
            <w:r>
              <w:t xml:space="preserve">$523.632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$704.762</w:t>
            </w:r>
          </w:p>
        </w:tc>
        <w:tc>
          <w:tcPr/>
          <w:p>
            <w:pPr>
              <w:pStyle w:val="Compact"/>
            </w:pPr>
            <w:r>
              <w:t xml:space="preserve">$520.888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$665.157</w:t>
            </w:r>
          </w:p>
        </w:tc>
        <w:tc>
          <w:tcPr/>
          <w:p>
            <w:pPr>
              <w:pStyle w:val="Compact"/>
            </w:pPr>
            <w:r>
              <w:t xml:space="preserve">$462.635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$613.703</w:t>
            </w:r>
          </w:p>
        </w:tc>
        <w:tc>
          <w:tcPr/>
          <w:p>
            <w:pPr>
              <w:pStyle w:val="Compact"/>
            </w:pPr>
            <w:r>
              <w:t xml:space="preserve">$440.212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$754.034</w:t>
            </w:r>
          </w:p>
        </w:tc>
        <w:tc>
          <w:tcPr/>
          <w:p>
            <w:pPr>
              <w:pStyle w:val="Compact"/>
            </w:pPr>
            <w:r>
              <w:t xml:space="preserve">$572.798</w:t>
            </w:r>
          </w:p>
        </w:tc>
      </w:tr>
    </w:tbl>
    <w:p>
      <w:pPr>
        <w:pStyle w:val="BodyText"/>
      </w:pPr>
      <w:r>
        <w:t xml:space="preserve">Entre 2016 y 2025, el ingreso real mediano (promedio anual) varía</w:t>
      </w:r>
      <w:r>
        <w:t xml:space="preserve"> </w:t>
      </w:r>
      <w:r>
        <w:rPr>
          <w:b/>
          <w:bCs/>
        </w:rPr>
        <w:t xml:space="preserve">+3,0%</w:t>
      </w:r>
      <w:r>
        <w:t xml:space="preserve"> </w:t>
      </w:r>
      <w:r>
        <w:t xml:space="preserve">en Gran Rosario y</w:t>
      </w:r>
      <w:r>
        <w:t xml:space="preserve"> </w:t>
      </w:r>
      <w:r>
        <w:rPr>
          <w:b/>
          <w:bCs/>
        </w:rPr>
        <w:t xml:space="preserve">-11,9%</w:t>
      </w:r>
      <w:r>
        <w:t xml:space="preserve"> </w:t>
      </w:r>
      <w:r>
        <w:t xml:space="preserve">en Gran Tucumán.</w:t>
      </w:r>
    </w:p>
    <w:bookmarkEnd w:id="39"/>
    <w:bookmarkStart w:id="49" w:name="análisis-multivariado"/>
    <w:p>
      <w:pPr>
        <w:pStyle w:val="Heading3"/>
      </w:pPr>
      <w:r>
        <w:t xml:space="preserve">4.3 Análisis multivariado</w:t>
      </w:r>
    </w:p>
    <w:p>
      <w:pPr>
        <w:pStyle w:val="FirstParagraph"/>
      </w:pPr>
      <w:r>
        <w:t xml:space="preserve">Ingreso real mediano según nivel educativo (2025):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Ingreso por nivel educativo" title="" id="41" name="Picture"/>
            <a:graphic>
              <a:graphicData uri="http://schemas.openxmlformats.org/drawingml/2006/picture">
                <pic:pic>
                  <pic:nvPicPr>
                    <pic:cNvPr descr="output/graficos/07_ingreso_educac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Ingreso por nivel educativo</w:t>
      </w:r>
    </w:p>
    <w:p>
      <w:pPr>
        <w:pStyle w:val="BodyText"/>
      </w:pPr>
      <w:r>
        <w:t xml:space="preserve">Ingreso real mediano según calificación de la tarea (2025, último dígito de</w:t>
      </w:r>
      <w:r>
        <w:t xml:space="preserve"> </w:t>
      </w:r>
      <w:r>
        <w:rPr>
          <w:rStyle w:val="VerbatimChar"/>
        </w:rPr>
        <w:t xml:space="preserve">PP04D_COD</w:t>
      </w:r>
      <w:r>
        <w:t xml:space="preserve">):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Ingreso por calificación" title="" id="44" name="Picture"/>
            <a:graphic>
              <a:graphicData uri="http://schemas.openxmlformats.org/drawingml/2006/picture">
                <pic:pic>
                  <pic:nvPicPr>
                    <pic:cNvPr descr="output/graficos/08_ingreso_calificac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Ingreso por calificación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Gran Rosario</w:t>
            </w:r>
          </w:p>
        </w:tc>
        <w:tc>
          <w:tcPr/>
          <w:p>
            <w:pPr>
              <w:pStyle w:val="Compact"/>
            </w:pPr>
            <w:r>
              <w:t xml:space="preserve">Gran Tucumán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Profesional</w:t>
            </w:r>
          </w:p>
        </w:tc>
        <w:tc>
          <w:tcPr/>
          <w:p>
            <w:pPr>
              <w:pStyle w:val="Compact"/>
            </w:pPr>
            <w:r>
              <w:t xml:space="preserve">$1.500.000</w:t>
            </w:r>
          </w:p>
        </w:tc>
        <w:tc>
          <w:tcPr/>
          <w:p>
            <w:pPr>
              <w:pStyle w:val="Compact"/>
            </w:pPr>
            <w:r>
              <w:t xml:space="preserve">$1.200.000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$1.017.368</w:t>
            </w:r>
          </w:p>
        </w:tc>
        <w:tc>
          <w:tcPr/>
          <w:p>
            <w:pPr>
              <w:pStyle w:val="Compact"/>
            </w:pPr>
            <w:r>
              <w:t xml:space="preserve">$767.475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Operativa</w:t>
            </w:r>
          </w:p>
        </w:tc>
        <w:tc>
          <w:tcPr/>
          <w:p>
            <w:pPr>
              <w:pStyle w:val="Compact"/>
            </w:pPr>
            <w:r>
              <w:t xml:space="preserve">$904.327</w:t>
            </w:r>
          </w:p>
        </w:tc>
        <w:tc>
          <w:tcPr/>
          <w:p>
            <w:pPr>
              <w:pStyle w:val="Compact"/>
            </w:pPr>
            <w:r>
              <w:t xml:space="preserve">$642.722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calificada</w:t>
            </w:r>
          </w:p>
        </w:tc>
        <w:tc>
          <w:tcPr/>
          <w:p>
            <w:pPr>
              <w:pStyle w:val="Compact"/>
            </w:pPr>
            <w:r>
              <w:t xml:space="preserve">$426.375</w:t>
            </w:r>
          </w:p>
        </w:tc>
        <w:tc>
          <w:tcPr/>
          <w:p>
            <w:pPr>
              <w:pStyle w:val="Compact"/>
            </w:pPr>
            <w:r>
              <w:t xml:space="preserve">$334.020</w:t>
            </w:r>
          </w:p>
        </w:tc>
      </w:tr>
    </w:tbl>
    <w:p>
      <w:pPr>
        <w:pStyle w:val="BodyText"/>
      </w:pPr>
      <w:r>
        <w:t xml:space="preserve">Brecha de género (cociente entre el ingreso mediano de mujeres y varones), por trimestre: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Brecha de género" title="" id="47" name="Picture"/>
            <a:graphic>
              <a:graphicData uri="http://schemas.openxmlformats.org/drawingml/2006/picture">
                <pic:pic>
                  <pic:nvPicPr>
                    <pic:cNvPr descr="output/graficos/09_brecha_gener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Brecha de género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objetivo-3---visualización"/>
    <w:p>
      <w:pPr>
        <w:pStyle w:val="Heading2"/>
      </w:pPr>
      <w:r>
        <w:t xml:space="preserve">5. Objetivo 3 - Visualización</w:t>
      </w:r>
    </w:p>
    <w:p>
      <w:pPr>
        <w:pStyle w:val="FirstParagraph"/>
      </w:pPr>
      <w:r>
        <w:t xml:space="preserve">Los gráficos se generaron con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a partir de las tablas calculadas. Se utilizó un color fijo por aglomerado en las series de tiempo y diagramas de cajas para la distribución del ingreso.</w:t>
      </w:r>
    </w:p>
    <w:p>
      <w:r>
        <w:pict>
          <v:rect style="width:0;height:1.5pt" o:hralign="center" o:hrstd="t" o:hr="t"/>
        </w:pict>
      </w:r>
    </w:p>
    <w:bookmarkEnd w:id="51"/>
    <w:bookmarkStart w:id="55" w:name="Xdca271e21d9ee95acca878d7c08b048aed5b102"/>
    <w:p>
      <w:pPr>
        <w:pStyle w:val="Heading2"/>
      </w:pPr>
      <w:r>
        <w:t xml:space="preserve">6. Objetivo 4 - Modelo de imputación de la no respuesta a ingresos</w:t>
      </w:r>
    </w:p>
    <w:p>
      <w:pPr>
        <w:pStyle w:val="FirstParagraph"/>
      </w:pPr>
      <w:r>
        <w:t xml:space="preserve">Se ajustó un modelo de</w:t>
      </w:r>
      <w:r>
        <w:t xml:space="preserve"> </w:t>
      </w:r>
      <w:r>
        <w:rPr>
          <w:b/>
          <w:bCs/>
        </w:rPr>
        <w:t xml:space="preserve">regresión lineal</w:t>
      </w:r>
      <w:r>
        <w:t xml:space="preserve"> </w:t>
      </w:r>
      <w:r>
        <w:t xml:space="preserve">para estimar el ingreso de los ocupados que no declararon</w:t>
      </w:r>
      <w:r>
        <w:t xml:space="preserve"> </w:t>
      </w:r>
      <w:r>
        <w:rPr>
          <w:rStyle w:val="VerbatimChar"/>
        </w:rPr>
        <w:t xml:space="preserve">P21</w:t>
      </w:r>
      <w:r>
        <w:t xml:space="preserve">. La variable dependiente es el logaritmo natural del ingreso. Las variables independientes son: edad y edad², sexo, nivel educativo, calificación de la tarea, aglomerado y período (efecto fijo de año-trimestre, que absorbe la variación de precios). El modelo se entrenó sobre el 80% de los ocupados que declararon ingreso y se evaluó sobre el 20% restante.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 (test)</w:t>
            </w:r>
          </w:p>
        </w:tc>
        <w:tc>
          <w:tcPr/>
          <w:p>
            <w:pPr>
              <w:pStyle w:val="Compact"/>
            </w:pPr>
            <w:r>
              <w:t xml:space="preserve">0,822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 (escala log)</w:t>
            </w:r>
          </w:p>
        </w:tc>
        <w:tc>
          <w:tcPr/>
          <w:p>
            <w:pPr>
              <w:pStyle w:val="Compact"/>
            </w:pPr>
            <w:r>
              <w:t xml:space="preserve">0,721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de entrenamiento</w:t>
            </w:r>
          </w:p>
        </w:tc>
        <w:tc>
          <w:tcPr/>
          <w:p>
            <w:pPr>
              <w:pStyle w:val="Compact"/>
            </w:pPr>
            <w:r>
              <w:t xml:space="preserve">52.503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imputados</w:t>
            </w:r>
          </w:p>
        </w:tc>
        <w:tc>
          <w:tcPr/>
          <w:p>
            <w:pPr>
              <w:pStyle w:val="Compact"/>
            </w:pPr>
            <w:r>
              <w:t xml:space="preserve">10.507</w:t>
            </w:r>
          </w:p>
        </w:tc>
      </w:tr>
    </w:tbl>
    <w:p>
      <w:pPr>
        <w:pStyle w:val="BodyText"/>
      </w:pPr>
      <w:r>
        <w:t xml:space="preserve">El coeficiente de determinación R² indica la proporción de la variabilidad del logaritmo del ingreso explicada por el modelo. La influencia de cada variable independiente (en un modelo logarítmico, cada coeficiente equivale aproximadamente a un cambio porcentual del ingreso respecto de la categoría base) se presenta a continuación: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Coeficientes del modelo" title="" id="53" name="Picture"/>
            <a:graphic>
              <a:graphicData uri="http://schemas.openxmlformats.org/drawingml/2006/picture">
                <pic:pic>
                  <pic:nvPicPr>
                    <pic:cNvPr descr="output/graficos/12_modelo_coeficient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Coeficientes del modelo</w:t>
      </w:r>
    </w:p>
    <w:p>
      <w:pPr>
        <w:pStyle w:val="BodyText"/>
      </w:pPr>
      <w:r>
        <w:t xml:space="preserve">Según el modelo:</w:t>
      </w:r>
    </w:p>
    <w:p>
      <w:pPr>
        <w:pStyle w:val="Compact"/>
        <w:numPr>
          <w:ilvl w:val="0"/>
          <w:numId w:val="1002"/>
        </w:numPr>
      </w:pPr>
      <w:r>
        <w:t xml:space="preserve">Nivel educativo superior completo:</w:t>
      </w:r>
      <w:r>
        <w:t xml:space="preserve"> </w:t>
      </w:r>
      <w:r>
        <w:rPr>
          <w:b/>
          <w:bCs/>
        </w:rPr>
        <w:t xml:space="preserve">+139%</w:t>
      </w:r>
      <w:r>
        <w:t xml:space="preserve"> </w:t>
      </w:r>
      <w:r>
        <w:t xml:space="preserve">respecto de primario incompleto.</w:t>
      </w:r>
    </w:p>
    <w:p>
      <w:pPr>
        <w:pStyle w:val="Compact"/>
        <w:numPr>
          <w:ilvl w:val="0"/>
          <w:numId w:val="1002"/>
        </w:numPr>
      </w:pPr>
      <w:r>
        <w:t xml:space="preserve">Tarea profesional:</w:t>
      </w:r>
      <w:r>
        <w:t xml:space="preserve"> </w:t>
      </w:r>
      <w:r>
        <w:rPr>
          <w:b/>
          <w:bCs/>
        </w:rPr>
        <w:t xml:space="preserve">+100%</w:t>
      </w:r>
      <w:r>
        <w:t xml:space="preserve"> </w:t>
      </w:r>
      <w:r>
        <w:t xml:space="preserve">respecto de tarea no calificada.</w:t>
      </w:r>
    </w:p>
    <w:p>
      <w:pPr>
        <w:pStyle w:val="Compact"/>
        <w:numPr>
          <w:ilvl w:val="0"/>
          <w:numId w:val="1002"/>
        </w:numPr>
      </w:pPr>
      <w:r>
        <w:t xml:space="preserve">Sexo femenino:</w:t>
      </w:r>
      <w:r>
        <w:t xml:space="preserve"> </w:t>
      </w:r>
      <w:r>
        <w:rPr>
          <w:b/>
          <w:bCs/>
        </w:rPr>
        <w:t xml:space="preserve">-39,5%</w:t>
      </w:r>
      <w:r>
        <w:t xml:space="preserve"> </w:t>
      </w:r>
      <w:r>
        <w:t xml:space="preserve">respecto del masculino, a igualdad del resto de las variables.</w:t>
      </w:r>
    </w:p>
    <w:p>
      <w:pPr>
        <w:pStyle w:val="Compact"/>
        <w:numPr>
          <w:ilvl w:val="0"/>
          <w:numId w:val="1002"/>
        </w:numPr>
      </w:pPr>
      <w:r>
        <w:t xml:space="preserve">Aglomerado Gran Tucumán:</w:t>
      </w:r>
      <w:r>
        <w:t xml:space="preserve"> </w:t>
      </w:r>
      <w:r>
        <w:rPr>
          <w:b/>
          <w:bCs/>
        </w:rPr>
        <w:t xml:space="preserve">-26,3%</w:t>
      </w:r>
      <w:r>
        <w:t xml:space="preserve"> </w:t>
      </w:r>
      <w:r>
        <w:t xml:space="preserve">respecto de Gran Rosario.</w:t>
      </w:r>
    </w:p>
    <w:p>
      <w:pPr>
        <w:pStyle w:val="Compact"/>
        <w:numPr>
          <w:ilvl w:val="0"/>
          <w:numId w:val="1002"/>
        </w:numPr>
      </w:pPr>
      <w:r>
        <w:t xml:space="preserve">Edad:</w:t>
      </w:r>
      <w:r>
        <w:t xml:space="preserve"> </w:t>
      </w:r>
      <w:r>
        <w:rPr>
          <w:b/>
          <w:bCs/>
        </w:rPr>
        <w:t xml:space="preserve">+7,1%</w:t>
      </w:r>
      <w:r>
        <w:t xml:space="preserve"> </w:t>
      </w:r>
      <w:r>
        <w:t xml:space="preserve">por año, con término cuadrático negativo (relación cóncava).</w:t>
      </w:r>
    </w:p>
    <w:p>
      <w:pPr>
        <w:pStyle w:val="FirstParagraph"/>
      </w:pPr>
      <w:r>
        <w:t xml:space="preserve">Aplicado a los 10,507 ocupados sin respuesta, el modelo estima una mediana de ingreso real de</w:t>
      </w:r>
      <w:r>
        <w:t xml:space="preserve"> </w:t>
      </w:r>
      <w:r>
        <w:rPr>
          <w:b/>
          <w:bCs/>
        </w:rPr>
        <w:t xml:space="preserve">$739.276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conclusiones"/>
    <w:p>
      <w:pPr>
        <w:pStyle w:val="Heading2"/>
      </w:pPr>
      <w:r>
        <w:t xml:space="preserve">7. Conclusiones</w:t>
      </w:r>
    </w:p>
    <w:p>
      <w:pPr>
        <w:pStyle w:val="FirstParagraph"/>
      </w:pPr>
      <w:r>
        <w:t xml:space="preserve">A partir del procesamiento de las bases de la EPH para Gran Rosario y Gran Tucumán entre 2016 y 2025 se desprende lo siguiente:</w:t>
      </w:r>
    </w:p>
    <w:p>
      <w:pPr>
        <w:numPr>
          <w:ilvl w:val="0"/>
          <w:numId w:val="1003"/>
        </w:numPr>
      </w:pPr>
      <w:r>
        <w:t xml:space="preserve">Las tres tasas del mercado laboral siguen una trayectoria similar en ambos aglomerados. La tasa de desocupación alcanza su valor anual más alto en 2020 en Gran Rosario (13,9%) y en 2021 en Gran Tucumán (11,1%), coincidiendo con el contexto de la pandemia, y luego desciende; las tasas de empleo se recuperan hacia el final del período.</w:t>
      </w:r>
    </w:p>
    <w:p>
      <w:pPr>
        <w:numPr>
          <w:ilvl w:val="0"/>
          <w:numId w:val="1003"/>
        </w:numPr>
      </w:pPr>
      <w:r>
        <w:t xml:space="preserve">El ingreso real mediano evoluciona de manera distinta en cada aglomerado: entre 2016 y 2025 varía</w:t>
      </w:r>
      <w:r>
        <w:t xml:space="preserve"> </w:t>
      </w:r>
      <w:r>
        <w:rPr>
          <w:b/>
          <w:bCs/>
        </w:rPr>
        <w:t xml:space="preserve">+3,0%</w:t>
      </w:r>
      <w:r>
        <w:t xml:space="preserve"> </w:t>
      </w:r>
      <w:r>
        <w:t xml:space="preserve">en Gran Rosario y</w:t>
      </w:r>
      <w:r>
        <w:t xml:space="preserve"> </w:t>
      </w:r>
      <w:r>
        <w:rPr>
          <w:b/>
          <w:bCs/>
        </w:rPr>
        <w:t xml:space="preserve">-11,9%</w:t>
      </w:r>
      <w:r>
        <w:t xml:space="preserve"> </w:t>
      </w:r>
      <w:r>
        <w:t xml:space="preserve">en Gran Tucumán. La diferencia de poder adquisitivo entre ambos se amplía a lo largo del período.</w:t>
      </w:r>
    </w:p>
    <w:p>
      <w:pPr>
        <w:numPr>
          <w:ilvl w:val="0"/>
          <w:numId w:val="1003"/>
        </w:numPr>
      </w:pPr>
      <w:r>
        <w:t xml:space="preserve">El ingreso presenta diferencias estructurales según las características de las personas: aumenta con el nivel educativo y la calificación de la tarea, y es menor para las mujeres, que ganan en promedio 29,6% menos que los varones en Gran Rosario y 32,6% menos en Gran Tucumán.</w:t>
      </w:r>
    </w:p>
    <w:p>
      <w:pPr>
        <w:numPr>
          <w:ilvl w:val="0"/>
          <w:numId w:val="1003"/>
        </w:numPr>
      </w:pPr>
      <w:r>
        <w:t xml:space="preserve">La no respuesta a ingresos es bastante mayor en Gran Rosario (hasta 46,2%) que en Gran Tucumán (hasta 17,1%), lo que respalda el uso de un modelo de imputación.</w:t>
      </w:r>
    </w:p>
    <w:p>
      <w:pPr>
        <w:numPr>
          <w:ilvl w:val="0"/>
          <w:numId w:val="1003"/>
        </w:numPr>
      </w:pPr>
      <w:r>
        <w:t xml:space="preserve">El modelo de regresión explica el 82% de la variabilidad del ingreso y permite cuantificar el efecto de cada variable: nivel educativo superior completo (+139%), tarea profesional (+100%), sexo femenino (-39,5%) y aglomerado de residencia (-26,3%), siempre respecto de su categoría base.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Análisis realizado con Python (pandas, scikit-learn, matplotlib) sobre las bases de microdatos de la EPH del INDEC.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33" Target="media/rId33.png" /><Relationship Type="http://schemas.openxmlformats.org/officeDocument/2006/relationships/image" Id="rId11" Target="media/rId11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2026-06-19T00:39:10Z</dcterms:created>
  <dcterms:modified xsi:type="dcterms:W3CDTF">2026-06-19T00:39:10Z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