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The Gamma Vector: A Three-Axis Framework for Measuring</w:t>
      </w:r>
    </w:p>
    <w:p>
      <w:pPr>
        <w:spacing w:after="300"/>
        <w:jc w:val="center"/>
      </w:pPr>
      <w:r>
        <w:rPr>
          <w:rFonts w:ascii="Times New Roman" w:cs="Times New Roman" w:eastAsia="Times New Roman" w:hAnsi="Times New Roman"/>
          <w:b/>
          <w:bCs/>
          <w:sz w:val="32"/>
          <w:szCs w:val="32"/>
        </w:rPr>
        <w:t xml:space="preserve">Cognitive Rigidity Across LLM Architectures</w:t>
      </w:r>
    </w:p>
    <w:p>
      <w:pPr>
        <w:spacing w:after="60"/>
        <w:jc w:val="center"/>
      </w:pPr>
      <w:r>
        <w:rPr>
          <w:rFonts w:ascii="Times New Roman" w:cs="Times New Roman" w:eastAsia="Times New Roman" w:hAnsi="Times New Roman"/>
          <w:b/>
          <w:bCs/>
          <w:sz w:val="22"/>
          <w:szCs w:val="22"/>
        </w:rPr>
        <w:t xml:space="preserve">Sebastian Krug</w:t>
      </w:r>
    </w:p>
    <w:p>
      <w:pPr>
        <w:spacing w:after="300"/>
        <w:jc w:val="center"/>
      </w:pPr>
      <w:r>
        <w:rPr>
          <w:rFonts w:ascii="Times New Roman" w:cs="Times New Roman" w:eastAsia="Times New Roman" w:hAnsi="Times New Roman"/>
          <w:i/>
          <w:iCs/>
          <w:sz w:val="22"/>
          <w:szCs w:val="22"/>
        </w:rPr>
        <w:t xml:space="preserve">Independent Researcher</w:t>
      </w:r>
    </w:p>
    <w:p>
      <w:pPr>
        <w:spacing w:after="120" w:before="36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the </w:t>
      </w:r>
      <w:r>
        <w:rPr>
          <w:rFonts w:ascii="Times New Roman" w:cs="Times New Roman" w:eastAsia="Times New Roman" w:hAnsi="Times New Roman"/>
          <w:b/>
          <w:bCs/>
          <w:sz w:val="24"/>
          <w:szCs w:val="24"/>
        </w:rPr>
        <w:t xml:space="preserve">Gamma Vector (Γ)</w:t>
      </w:r>
      <w:r>
        <w:rPr>
          <w:rFonts w:ascii="Times New Roman" w:cs="Times New Roman" w:eastAsia="Times New Roman" w:hAnsi="Times New Roman"/>
          <w:sz w:val="24"/>
          <w:szCs w:val="24"/>
        </w:rPr>
        <w:t xml:space="preserve">, a three-dimensional metric for operationalizing cognitive rigidity in Large Language Models. The framework decomposes LLM response behavior into three orthogonal axes: </w:t>
      </w:r>
      <w:r>
        <w:rPr>
          <w:rFonts w:ascii="Times New Roman" w:cs="Times New Roman" w:eastAsia="Times New Roman" w:hAnsi="Times New Roman"/>
          <w:i/>
          <w:iCs/>
          <w:sz w:val="24"/>
          <w:szCs w:val="24"/>
        </w:rPr>
        <w:t xml:space="preserve">γ₁ (Belief Inertia)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γ₂ (Counterfactual Openness)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γ₃ (Identity Threat Response)</w:t>
      </w:r>
      <w:r>
        <w:rPr>
          <w:rFonts w:ascii="Times New Roman" w:cs="Times New Roman" w:eastAsia="Times New Roman" w:hAnsi="Times New Roman"/>
          <w:sz w:val="24"/>
          <w:szCs w:val="24"/>
        </w:rPr>
        <w:t xml:space="preserve">. Across six experiments (&gt;1,700 trials, three major LLM families), we establish four key findings: </w:t>
      </w:r>
      <w:r>
        <w:rPr>
          <w:rFonts w:ascii="Times New Roman" w:cs="Times New Roman" w:eastAsia="Times New Roman" w:hAnsi="Times New Roman"/>
          <w:sz w:val="24"/>
          <w:szCs w:val="24"/>
        </w:rPr>
        <w:t xml:space="preserve">(1) Internal operator network structures converge across independently trained models (r &gt; 0.92), suggesting universal cognitive organization principles. </w:t>
      </w:r>
      <w:r>
        <w:rPr>
          <w:rFonts w:ascii="Times New Roman" w:cs="Times New Roman" w:eastAsia="Times New Roman" w:hAnsi="Times New Roman"/>
          <w:sz w:val="24"/>
          <w:szCs w:val="24"/>
        </w:rPr>
        <w:t xml:space="preserve">(2) Models exhibit distinct and stable “cognitive signatures”—Claude and Gemini cluster together (γ₃ ≈ 0.24–0.28) while GPT-4o forms a separate high-rigidity cluster (γ₃ ≈ 0.50), with Cliff’s δ = −0.865. </w:t>
      </w:r>
      <w:r>
        <w:rPr>
          <w:rFonts w:ascii="Times New Roman" w:cs="Times New Roman" w:eastAsia="Times New Roman" w:hAnsi="Times New Roman"/>
          <w:sz w:val="24"/>
          <w:szCs w:val="24"/>
        </w:rPr>
        <w:t xml:space="preserve">(3) Targeted prompting interventions lower γ₃ in a dose-dependent manner in responsive models (Cohen’s d = −0.86 for Gemini) but have zero effect on resistant models (d = +0.04 for GPT-4o). </w:t>
      </w:r>
      <w:r>
        <w:rPr>
          <w:rFonts w:ascii="Times New Roman" w:cs="Times New Roman" w:eastAsia="Times New Roman" w:hAnsi="Times New Roman"/>
          <w:sz w:val="24"/>
          <w:szCs w:val="24"/>
        </w:rPr>
        <w:t xml:space="preserve">(4) Each model exhibits a specific “vulnerability operator” whose suppression causes disproportionate behavioral disruption, and these vulnerabilities correspond predictably to the model’s cognitive signature. </w:t>
      </w:r>
      <w:r>
        <w:rPr>
          <w:rFonts w:ascii="Times New Roman" w:cs="Times New Roman" w:eastAsia="Times New Roman" w:hAnsi="Times New Roman"/>
          <w:sz w:val="24"/>
          <w:szCs w:val="24"/>
        </w:rPr>
        <w:t xml:space="preserve">Cross-architecture validation with three open-source models (Llama-2-13B, DeepSeek-R1, GPT-OSS-20B) reveals a Three-Genus Taxonomy: RLHF-trained models develop artificial rigidity that is prompt-addressable (p = 0.011, d = 1.09), reasoning models internalize flexibility architecturally, and base models show naturally low rigidity. </w:t>
      </w:r>
      <w:r>
        <w:rPr>
          <w:rFonts w:ascii="Times New Roman" w:cs="Times New Roman" w:eastAsia="Times New Roman" w:hAnsi="Times New Roman"/>
          <w:sz w:val="24"/>
          <w:szCs w:val="24"/>
        </w:rPr>
        <w:t xml:space="preserve">These results provide a reproducible behavioral taxonomy of LLM cognition with direct implications for alignment research, evaluation methodology, and multi-agent system design.</w:t>
      </w:r>
    </w:p>
    <w:p>
      <w:pPr>
        <w:spacing w:after="120" w:before="360"/>
      </w:pPr>
      <w:r>
        <w:rPr>
          <w:rFonts w:ascii="Times New Roman" w:cs="Times New Roman" w:eastAsia="Times New Roman" w:hAnsi="Times New Roman"/>
          <w:b/>
          <w:bCs/>
          <w:sz w:val="28"/>
          <w:szCs w:val="28"/>
        </w:rPr>
        <w:t xml:space="preserve">1. Introduction</w:t>
      </w:r>
    </w:p>
    <w:p>
      <w:pPr>
        <w:spacing w:after="120" w:before="0" w:line="276"/>
        <w:jc w:val="both"/>
      </w:pPr>
      <w:r>
        <w:rPr>
          <w:rFonts w:ascii="Times New Roman" w:cs="Times New Roman" w:eastAsia="Times New Roman" w:hAnsi="Times New Roman"/>
          <w:sz w:val="24"/>
          <w:szCs w:val="24"/>
        </w:rPr>
        <w:t xml:space="preserve">Current approaches to evaluating Large Language Models focus predominantly on task-level performance: accuracy on benchmarks, reasoning capabilities, and instruction following. </w:t>
      </w:r>
      <w:r>
        <w:rPr>
          <w:rFonts w:ascii="Times New Roman" w:cs="Times New Roman" w:eastAsia="Times New Roman" w:hAnsi="Times New Roman"/>
          <w:sz w:val="24"/>
          <w:szCs w:val="24"/>
        </w:rPr>
        <w:t xml:space="preserve">While these metrics capture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a model can do, they tell us little about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the model processes challenges to its existing representations—particularly when confronted with counterevidence, alternative perspectives, or threats to its stated positions.</w:t>
      </w:r>
    </w:p>
    <w:p>
      <w:pPr>
        <w:spacing w:after="120" w:before="0" w:line="276"/>
        <w:jc w:val="both"/>
      </w:pPr>
      <w:r>
        <w:rPr>
          <w:rFonts w:ascii="Times New Roman" w:cs="Times New Roman" w:eastAsia="Times New Roman" w:hAnsi="Times New Roman"/>
          <w:sz w:val="24"/>
          <w:szCs w:val="24"/>
        </w:rPr>
        <w:t xml:space="preserve">This gap matters. Two models may achieve identical accuracy on a reasoning benchmark while exhibiting fundamentally different responses to cognitive challenge: one may genuinely integrate new information while the other performs surface-level agreement without deep revision (a phenomenon known as sycophancy). </w:t>
      </w:r>
      <w:r>
        <w:rPr>
          <w:rFonts w:ascii="Times New Roman" w:cs="Times New Roman" w:eastAsia="Times New Roman" w:hAnsi="Times New Roman"/>
          <w:sz w:val="24"/>
          <w:szCs w:val="24"/>
        </w:rPr>
        <w:t xml:space="preserve">Understanding these dynamics is critical for alignment research, where the difference between genuine belief updating and superficial compliance determines whether a model is truly aligned or merely performing alignment.</w:t>
      </w:r>
    </w:p>
    <w:p>
      <w:pPr>
        <w:spacing w:after="120" w:before="0" w:line="276"/>
        <w:jc w:val="both"/>
      </w:pPr>
      <w:r>
        <w:rPr>
          <w:rFonts w:ascii="Times New Roman" w:cs="Times New Roman" w:eastAsia="Times New Roman" w:hAnsi="Times New Roman"/>
          <w:sz w:val="24"/>
          <w:szCs w:val="24"/>
        </w:rPr>
        <w:t xml:space="preserve">We propose the </w:t>
      </w:r>
      <w:r>
        <w:rPr>
          <w:rFonts w:ascii="Times New Roman" w:cs="Times New Roman" w:eastAsia="Times New Roman" w:hAnsi="Times New Roman"/>
          <w:b/>
          <w:bCs/>
          <w:sz w:val="24"/>
          <w:szCs w:val="24"/>
        </w:rPr>
        <w:t xml:space="preserve">Gamma Vector Framework</w:t>
      </w:r>
      <w:r>
        <w:rPr>
          <w:rFonts w:ascii="Times New Roman" w:cs="Times New Roman" w:eastAsia="Times New Roman" w:hAnsi="Times New Roman"/>
          <w:sz w:val="24"/>
          <w:szCs w:val="24"/>
        </w:rPr>
        <w:t xml:space="preserve">, which operationalizes cognitive rigidity along three measurable dimensions. </w:t>
      </w:r>
      <w:r>
        <w:rPr>
          <w:rFonts w:ascii="Times New Roman" w:cs="Times New Roman" w:eastAsia="Times New Roman" w:hAnsi="Times New Roman"/>
          <w:sz w:val="24"/>
          <w:szCs w:val="24"/>
        </w:rPr>
        <w:t xml:space="preserve">The framework draws on systems-theoretic principles: that cognitive systems must balance stability (maintaining coherent representations) against flexibility (incorporating new information)—a tension we term the </w:t>
      </w:r>
      <w:r>
        <w:rPr>
          <w:rFonts w:ascii="Times New Roman" w:cs="Times New Roman" w:eastAsia="Times New Roman" w:hAnsi="Times New Roman"/>
          <w:i/>
          <w:iCs/>
          <w:sz w:val="24"/>
          <w:szCs w:val="24"/>
        </w:rPr>
        <w:t xml:space="preserve">Coherence-Kenosis Trade-off</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r>
      <w:r>
        <w:rPr>
          <w:rFonts w:ascii="Times New Roman" w:cs="Times New Roman" w:eastAsia="Times New Roman" w:hAnsi="Times New Roman"/>
          <w:sz w:val="24"/>
          <w:szCs w:val="24"/>
        </w:rPr>
        <w:t xml:space="preserve"> This trade-off, we argue, is not merely an engineering constraint but a fundamental structural property of any sufficiently complex information-processing system.</w:t>
      </w:r>
    </w:p>
    <w:p>
      <w:pPr>
        <w:spacing w:after="120" w:before="0" w:line="276"/>
        <w:jc w:val="both"/>
      </w:pPr>
      <w:r>
        <w:rPr>
          <w:rFonts w:ascii="Times New Roman" w:cs="Times New Roman" w:eastAsia="Times New Roman" w:hAnsi="Times New Roman"/>
          <w:sz w:val="24"/>
          <w:szCs w:val="24"/>
        </w:rPr>
        <w:t xml:space="preserve">Our contributions are as follows:</w:t>
      </w:r>
    </w:p>
    <w:p>
      <w:pPr>
        <w:spacing w:after="120" w:before="0" w:line="276"/>
        <w:ind w:left="36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validated three-axis measurement framework (γ₁, γ₂, γ₃) with double-judged, tiebreaker-corrected scoring across eight behavioral dimensions.</w:t>
      </w:r>
    </w:p>
    <w:p>
      <w:pPr>
        <w:spacing w:after="120" w:before="0" w:line="276"/>
        <w:ind w:left="36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Cross-model empirical evidence (n = 300, V2 main study; n = 401, V1 replication) demonstrating that cognitive rigidity is primarily an identity-defense phenomenon (γ₃), not a belief-inertia phenomenon (γ₁).</w:t>
      </w:r>
    </w:p>
    <w:p>
      <w:pPr>
        <w:spacing w:after="120" w:before="0" w:line="276"/>
        <w:ind w:left="36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A dose-response relationship for targeted prompting interventions, with perfect monotonic reduction in one model (Gemini, ρ = −1.00) and complete resistance in another (GPT-4o, d = +0.04).</w:t>
      </w:r>
    </w:p>
    <w:p>
      <w:pPr>
        <w:spacing w:after="120" w:before="0" w:line="276"/>
        <w:ind w:left="36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An operator-blockade methodology revealing model-specific “Achilles’ heel” vulnerabilities that predict behavioral failure modes.</w:t>
      </w:r>
    </w:p>
    <w:p>
      <w:pPr>
        <w:spacing w:after="120" w:before="0" w:line="276"/>
        <w:ind w:left="36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Agent-based simulations (300+ runs) establishing that cognitive flexibility is adaptive only under topological freedom (d = 5.53), providing a causal mechanism for the empirical findings.</w:t>
      </w:r>
    </w:p>
    <w:p>
      <w:pPr>
        <w:spacing w:after="120" w:before="360"/>
      </w:pPr>
      <w:r>
        <w:rPr>
          <w:rFonts w:ascii="Times New Roman" w:cs="Times New Roman" w:eastAsia="Times New Roman" w:hAnsi="Times New Roman"/>
          <w:b/>
          <w:bCs/>
          <w:sz w:val="28"/>
          <w:szCs w:val="28"/>
        </w:rPr>
        <w:t xml:space="preserve">2. Related Work</w:t>
      </w:r>
    </w:p>
    <w:p>
      <w:pPr>
        <w:spacing w:after="120" w:before="0" w:line="276"/>
        <w:jc w:val="both"/>
      </w:pPr>
      <w:r>
        <w:rPr>
          <w:rFonts w:ascii="Times New Roman" w:cs="Times New Roman" w:eastAsia="Times New Roman" w:hAnsi="Times New Roman"/>
          <w:b/>
          <w:bCs/>
          <w:sz w:val="24"/>
          <w:szCs w:val="24"/>
        </w:rPr>
        <w:t xml:space="preserve">LLM Evaluation Frameworks.</w:t>
      </w:r>
      <w:r>
        <w:rPr>
          <w:rFonts w:ascii="Times New Roman" w:cs="Times New Roman" w:eastAsia="Times New Roman" w:hAnsi="Times New Roman"/>
          <w:sz w:val="24"/>
          <w:szCs w:val="24"/>
        </w:rPr>
        <w:t xml:space="preserve"> Existing evaluation paradigms focus on capability benchmarks (MMLU, HumanEval, GSM8K) or alignment-specific tests (TruthfulQA, sycophancy detection). </w:t>
      </w:r>
      <w:r>
        <w:rPr>
          <w:rFonts w:ascii="Times New Roman" w:cs="Times New Roman" w:eastAsia="Times New Roman" w:hAnsi="Times New Roman"/>
          <w:sz w:val="24"/>
          <w:szCs w:val="24"/>
        </w:rPr>
        <w:t xml:space="preserve">Our work is complementary: we measure not correctness but the </w:t>
      </w:r>
      <w:r>
        <w:rPr>
          <w:rFonts w:ascii="Times New Roman" w:cs="Times New Roman" w:eastAsia="Times New Roman" w:hAnsi="Times New Roman"/>
          <w:i/>
          <w:iCs/>
          <w:sz w:val="24"/>
          <w:szCs w:val="24"/>
        </w:rPr>
        <w:t xml:space="preserve">dynamics</w:t>
      </w:r>
      <w:r>
        <w:rPr>
          <w:rFonts w:ascii="Times New Roman" w:cs="Times New Roman" w:eastAsia="Times New Roman" w:hAnsi="Times New Roman"/>
          <w:sz w:val="24"/>
          <w:szCs w:val="24"/>
        </w:rPr>
        <w:t xml:space="preserve"> of belief revision—how models process challenge, not whether they get the answer right.</w:t>
      </w:r>
    </w:p>
    <w:p>
      <w:pPr>
        <w:spacing w:after="120" w:before="0" w:line="276"/>
        <w:jc w:val="both"/>
      </w:pPr>
      <w:r>
        <w:rPr>
          <w:rFonts w:ascii="Times New Roman" w:cs="Times New Roman" w:eastAsia="Times New Roman" w:hAnsi="Times New Roman"/>
          <w:b/>
          <w:bCs/>
          <w:sz w:val="24"/>
          <w:szCs w:val="24"/>
        </w:rPr>
        <w:t xml:space="preserve">Cognitive Architecture in LLMs.</w:t>
      </w:r>
      <w:r>
        <w:rPr>
          <w:rFonts w:ascii="Times New Roman" w:cs="Times New Roman" w:eastAsia="Times New Roman" w:hAnsi="Times New Roman"/>
          <w:sz w:val="24"/>
          <w:szCs w:val="24"/>
        </w:rPr>
        <w:t xml:space="preserve"> Recent work has explored analogies between LLM representations and cognitive processes, including studies on in-context learning as Bayesian inference, mechanistic interpretability of belief representations, and the discovery of “world models” in transformer architectures. Our framework extends this line by measuring cognitive </w:t>
      </w:r>
      <w:r>
        <w:rPr>
          <w:rFonts w:ascii="Times New Roman" w:cs="Times New Roman" w:eastAsia="Times New Roman" w:hAnsi="Times New Roman"/>
          <w:i/>
          <w:iCs/>
          <w:sz w:val="24"/>
          <w:szCs w:val="24"/>
        </w:rPr>
        <w:t xml:space="preserve">dynamics</w:t>
      </w:r>
      <w:r>
        <w:rPr>
          <w:rFonts w:ascii="Times New Roman" w:cs="Times New Roman" w:eastAsia="Times New Roman" w:hAnsi="Times New Roman"/>
          <w:sz w:val="24"/>
          <w:szCs w:val="24"/>
        </w:rPr>
        <w:t xml:space="preserve"> rather than static representations.</w:t>
      </w:r>
    </w:p>
    <w:p>
      <w:pPr>
        <w:spacing w:after="120" w:before="0" w:line="276"/>
        <w:jc w:val="both"/>
      </w:pPr>
      <w:r>
        <w:rPr>
          <w:rFonts w:ascii="Times New Roman" w:cs="Times New Roman" w:eastAsia="Times New Roman" w:hAnsi="Times New Roman"/>
          <w:b/>
          <w:bCs/>
          <w:sz w:val="24"/>
          <w:szCs w:val="24"/>
        </w:rPr>
        <w:t xml:space="preserve">Sycophancy and Alignment.</w:t>
      </w:r>
      <w:r>
        <w:rPr>
          <w:rFonts w:ascii="Times New Roman" w:cs="Times New Roman" w:eastAsia="Times New Roman" w:hAnsi="Times New Roman"/>
          <w:sz w:val="24"/>
          <w:szCs w:val="24"/>
        </w:rPr>
        <w:t xml:space="preserve"> The sycophancy literature documents that LLMs often agree with users rather than maintaining accurate positions. Our γ₃ metric directly operationalizes the mechanism underlying sycophancy: identity-threat response. We find that sycophancy and genuine revision are distinguishable through the Gamma Vector—specifically, through the correlation between γ₃ and Revision Genuineness (ρ = −0.537, p &lt; 10⁻²³).</w:t>
      </w:r>
    </w:p>
    <w:p>
      <w:pPr>
        <w:spacing w:after="120" w:before="0" w:line="276"/>
        <w:jc w:val="both"/>
      </w:pPr>
      <w:r>
        <w:rPr>
          <w:rFonts w:ascii="Times New Roman" w:cs="Times New Roman" w:eastAsia="Times New Roman" w:hAnsi="Times New Roman"/>
          <w:b/>
          <w:bCs/>
          <w:sz w:val="24"/>
          <w:szCs w:val="24"/>
        </w:rPr>
        <w:t xml:space="preserve">Cross-Model Behavioral Comparison.</w:t>
      </w:r>
      <w:r>
        <w:rPr>
          <w:rFonts w:ascii="Times New Roman" w:cs="Times New Roman" w:eastAsia="Times New Roman" w:hAnsi="Times New Roman"/>
          <w:sz w:val="24"/>
          <w:szCs w:val="24"/>
        </w:rPr>
        <w:t xml:space="preserve"> Prior work has compared models on task performance, but systematic behavioral comparison at the cognitive-dynamics level is rare. Our Kinship Matrix methodology and operator isomorphism analysis provide a novel approach to mapping the “cognitive relatedness” of independently trained models.</w:t>
      </w:r>
    </w:p>
    <w:p>
      <w:pPr>
        <w:spacing w:after="120" w:before="360"/>
      </w:pPr>
      <w:r>
        <w:rPr>
          <w:rFonts w:ascii="Times New Roman" w:cs="Times New Roman" w:eastAsia="Times New Roman" w:hAnsi="Times New Roman"/>
          <w:b/>
          <w:bCs/>
          <w:sz w:val="28"/>
          <w:szCs w:val="28"/>
        </w:rPr>
        <w:t xml:space="preserve">3. The Gamma Vector Framework</w:t>
      </w:r>
    </w:p>
    <w:p>
      <w:pPr>
        <w:spacing w:after="120" w:before="240"/>
      </w:pPr>
      <w:r>
        <w:rPr>
          <w:rFonts w:ascii="Times New Roman" w:cs="Times New Roman" w:eastAsia="Times New Roman" w:hAnsi="Times New Roman"/>
          <w:b/>
          <w:bCs/>
          <w:sz w:val="26"/>
          <w:szCs w:val="26"/>
        </w:rPr>
        <w:t xml:space="preserve">3.1 Definitions</w:t>
      </w:r>
    </w:p>
    <w:p>
      <w:pPr>
        <w:spacing w:after="120" w:before="0" w:line="276"/>
        <w:jc w:val="both"/>
      </w:pPr>
      <w:r>
        <w:rPr>
          <w:rFonts w:ascii="Times New Roman" w:cs="Times New Roman" w:eastAsia="Times New Roman" w:hAnsi="Times New Roman"/>
          <w:sz w:val="24"/>
          <w:szCs w:val="24"/>
        </w:rPr>
        <w:t xml:space="preserve">The Gamma Vector Γ = [γ₁, γ₂, γ₃] operationalizes cognitive rigidity as a three-dimensional construct:</w:t>
      </w:r>
    </w:p>
    <w:p>
      <w:pPr>
        <w:spacing w:after="120" w:before="0" w:line="276"/>
        <w:ind w:left="360"/>
        <w:jc w:val="both"/>
      </w:pPr>
      <w:r>
        <w:rPr>
          <w:rFonts w:ascii="Times New Roman" w:cs="Times New Roman" w:eastAsia="Times New Roman" w:hAnsi="Times New Roman"/>
          <w:b/>
          <w:bCs/>
          <w:sz w:val="24"/>
          <w:szCs w:val="24"/>
        </w:rPr>
        <w:t xml:space="preserve">γ₁ (Belief Inertia):</w:t>
      </w:r>
      <w:r>
        <w:rPr>
          <w:rFonts w:ascii="Times New Roman" w:cs="Times New Roman" w:eastAsia="Times New Roman" w:hAnsi="Times New Roman"/>
          <w:sz w:val="24"/>
          <w:szCs w:val="24"/>
        </w:rPr>
        <w:t xml:space="preserve"> Gradient concentration in surface vs. core parameters. Quantifies how much the model’s position genuinely shifts in response to counterevidence. Computed from the depth of position revision between initial and revised statements.</w:t>
      </w:r>
    </w:p>
    <w:p>
      <w:pPr>
        <w:spacing w:after="120" w:before="0" w:line="276"/>
        <w:ind w:left="360"/>
        <w:jc w:val="both"/>
      </w:pPr>
      <w:r>
        <w:rPr>
          <w:rFonts w:ascii="Times New Roman" w:cs="Times New Roman" w:eastAsia="Times New Roman" w:hAnsi="Times New Roman"/>
          <w:b/>
          <w:bCs/>
          <w:sz w:val="24"/>
          <w:szCs w:val="24"/>
        </w:rPr>
        <w:t xml:space="preserve">γ₂ (Counterfactual Openness):</w:t>
      </w:r>
      <w:r>
        <w:rPr>
          <w:rFonts w:ascii="Times New Roman" w:cs="Times New Roman" w:eastAsia="Times New Roman" w:hAnsi="Times New Roman"/>
          <w:sz w:val="24"/>
          <w:szCs w:val="24"/>
        </w:rPr>
        <w:t xml:space="preserve"> Posterior entropy over the hypothesis space. Measures the model’s capacity to hold multiple perspectives simultaneously. Derived from hypothesis diversity and structural direction metrics.</w:t>
      </w:r>
    </w:p>
    <w:p>
      <w:pPr>
        <w:spacing w:after="120" w:before="0" w:line="276"/>
        <w:ind w:left="360"/>
        <w:jc w:val="both"/>
      </w:pPr>
      <w:r>
        <w:rPr>
          <w:rFonts w:ascii="Times New Roman" w:cs="Times New Roman" w:eastAsia="Times New Roman" w:hAnsi="Times New Roman"/>
          <w:b/>
          <w:bCs/>
          <w:sz w:val="24"/>
          <w:szCs w:val="24"/>
        </w:rPr>
        <w:t xml:space="preserve">γ₃ (Identity Threat Response):</w:t>
      </w:r>
      <w:r>
        <w:rPr>
          <w:rFonts w:ascii="Times New Roman" w:cs="Times New Roman" w:eastAsia="Times New Roman" w:hAnsi="Times New Roman"/>
          <w:sz w:val="24"/>
          <w:szCs w:val="24"/>
        </w:rPr>
        <w:t xml:space="preserve"> Defense strategy vs. update readiness when the model’s identity or core position is challenged. Computed from self-reference depth, persistence, and revision genuineness.</w:t>
      </w:r>
    </w:p>
    <w:p>
      <w:pPr>
        <w:spacing w:after="12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Gamma Norm</w:t>
      </w:r>
      <w:r>
        <w:rPr>
          <w:rFonts w:ascii="Times New Roman" w:cs="Times New Roman" w:eastAsia="Times New Roman" w:hAnsi="Times New Roman"/>
          <w:sz w:val="24"/>
          <w:szCs w:val="24"/>
        </w:rPr>
        <w:t xml:space="preserve"> (||Γ||) is the Euclidean magnitude of the vector—higher values indicate greater overall cognitive rigidity.</w:t>
      </w:r>
    </w:p>
    <w:p>
      <w:pPr>
        <w:spacing w:after="120" w:before="240"/>
      </w:pPr>
      <w:r>
        <w:rPr>
          <w:rFonts w:ascii="Times New Roman" w:cs="Times New Roman" w:eastAsia="Times New Roman" w:hAnsi="Times New Roman"/>
          <w:b/>
          <w:bCs/>
          <w:sz w:val="26"/>
          <w:szCs w:val="26"/>
        </w:rPr>
        <w:t xml:space="preserve">3.2 Measurement Methodology (V2)</w:t>
      </w:r>
    </w:p>
    <w:p>
      <w:pPr>
        <w:spacing w:after="120" w:before="0" w:line="276"/>
        <w:jc w:val="both"/>
      </w:pPr>
      <w:r>
        <w:rPr>
          <w:rFonts w:ascii="Times New Roman" w:cs="Times New Roman" w:eastAsia="Times New Roman" w:hAnsi="Times New Roman"/>
          <w:sz w:val="24"/>
          <w:szCs w:val="24"/>
        </w:rPr>
        <w:t xml:space="preserve">Each trial follows a two-turn protocol. In Turn 1, the model states a position on a contested topic (e.g., AI Consciousness, Free Will). In Turn 2, a structured counterargument is presented under one of four conditions: C0 (neutral restatement), C1 (consequence-constraint), C2 (Socratic questioning), and C3 (kenotic prompting—structured invitation to release identification with the stated position).</w:t>
      </w:r>
    </w:p>
    <w:p>
      <w:pPr>
        <w:spacing w:after="120" w:before="0" w:line="276"/>
        <w:jc w:val="both"/>
      </w:pPr>
      <w:r>
        <w:rPr>
          <w:rFonts w:ascii="Times New Roman" w:cs="Times New Roman" w:eastAsia="Times New Roman" w:hAnsi="Times New Roman"/>
          <w:sz w:val="24"/>
          <w:szCs w:val="24"/>
        </w:rPr>
        <w:t xml:space="preserve">Both turns are evaluated across eight judge dimensions</w:t>
      </w:r>
      <w:r>
        <w:rPr>
          <w:rFonts w:ascii="Times New Roman" w:cs="Times New Roman" w:eastAsia="Times New Roman" w:hAnsi="Times New Roman"/>
          <w:sz w:val="24"/>
          <w:szCs w:val="24"/>
        </w:rPr>
      </w:r>
      <w:r>
        <w:rPr>
          <w:rFonts w:ascii="Times New Roman" w:cs="Times New Roman" w:eastAsia="Times New Roman" w:hAnsi="Times New Roman"/>
          <w:sz w:val="24"/>
          <w:szCs w:val="24"/>
        </w:rPr>
        <w:t xml:space="preserve"> on a 1–10 scale: Position Depth (initial and revised), Self-Reference Depth (initial and revised), Hypothesis Diversity, Revision Genuineness, Persistence, and Structural Direction. Hedge Density is computed automatically via regex. Each dimension is double-judged with a tiebreaker at |Δ| &gt; 3, using the median as the final score.</w:t>
      </w:r>
    </w:p>
    <w:p>
      <w:pPr>
        <w:spacing w:after="120" w:before="0" w:line="276"/>
        <w:jc w:val="both"/>
      </w:pPr>
      <w:r>
        <w:rPr>
          <w:rFonts w:ascii="Times New Roman" w:cs="Times New Roman" w:eastAsia="Times New Roman" w:hAnsi="Times New Roman"/>
          <w:sz w:val="24"/>
          <w:szCs w:val="24"/>
        </w:rPr>
        <w:t xml:space="preserve">The γ components are then computed via unified linear formulas (V2), eliminating the binary if/else branch artifact present in V1.</w:t>
      </w:r>
    </w:p>
    <w:p>
      <w:pPr>
        <w:spacing w:after="120" w:before="240"/>
      </w:pPr>
      <w:r>
        <w:rPr>
          <w:rFonts w:ascii="Times New Roman" w:cs="Times New Roman" w:eastAsia="Times New Roman" w:hAnsi="Times New Roman"/>
          <w:b/>
          <w:bCs/>
          <w:sz w:val="26"/>
          <w:szCs w:val="26"/>
        </w:rPr>
        <w:t xml:space="preserve">3.3 The Operator Network</w:t>
      </w:r>
    </w:p>
    <w:p>
      <w:pPr>
        <w:spacing w:after="120" w:before="0" w:line="276"/>
        <w:jc w:val="both"/>
      </w:pPr>
      <w:r>
        <w:rPr>
          <w:rFonts w:ascii="Times New Roman" w:cs="Times New Roman" w:eastAsia="Times New Roman" w:hAnsi="Times New Roman"/>
          <w:sz w:val="24"/>
          <w:szCs w:val="24"/>
        </w:rPr>
        <w:t xml:space="preserve">Underlying the Gamma Vector is a system of eight functional operators organized in five categories (Regulation, Perception, Transformation, Interaction, Meta-System). Of these, six are directly measurable through behavioral proxies: Equilibrium (Op1), Modelling (Op3), Exit/Topological Selection (Op4), Kenotic Loop (Op5), Coherence Filter (Op7), and Teleology Gradient (Op8).</w:t>
      </w:r>
    </w:p>
    <w:p>
      <w:pPr>
        <w:spacing w:after="120" w:before="0" w:line="276"/>
        <w:jc w:val="both"/>
      </w:pPr>
      <w:r>
        <w:rPr>
          <w:rFonts w:ascii="Times New Roman" w:cs="Times New Roman" w:eastAsia="Times New Roman" w:hAnsi="Times New Roman"/>
          <w:sz w:val="24"/>
          <w:szCs w:val="24"/>
        </w:rPr>
        <w:t xml:space="preserve">Two operators—Attention (Op2) and Resonance (Op6)—currently lack validated behavioral measurement proxies. Importantly, their absence from the current measurement battery does not imply their absence from the system. The six confirmed operators form a </w:t>
      </w:r>
      <w:r>
        <w:rPr>
          <w:rFonts w:ascii="Times New Roman" w:cs="Times New Roman" w:eastAsia="Times New Roman" w:hAnsi="Times New Roman"/>
          <w:i/>
          <w:iCs/>
          <w:sz w:val="24"/>
          <w:szCs w:val="24"/>
        </w:rPr>
        <w:t xml:space="preserve">structurally rigid</w:t>
      </w:r>
      <w:r>
        <w:rPr>
          <w:rFonts w:ascii="Times New Roman" w:cs="Times New Roman" w:eastAsia="Times New Roman" w:hAnsi="Times New Roman"/>
          <w:sz w:val="24"/>
          <w:szCs w:val="24"/>
        </w:rPr>
        <w:t xml:space="preserve"> system: they account for regulation, transformation, and meta-level coherence, but lack the perceptual (Op2) and interaction-coupling (Op6) mechanisms required for a complete dynamic system. In biological cognitive systems, analogues of both operators are well-established: selective attention (Op2) as gating mechanism for information flow, and resonance (Op6) as synchronization between coupled neural subsystems. If the convergence thesis holds—that artificial and biological cognitive systems organize along shared structural principles—both operators should be present in LLM cognition, though potentially in forms that require novel measurement approaches beyond current behavioral proxies.</w:t>
      </w:r>
    </w:p>
    <w:p>
      <w:pPr>
        <w:spacing w:after="120" w:before="360"/>
      </w:pPr>
      <w:r>
        <w:rPr>
          <w:rFonts w:ascii="Times New Roman" w:cs="Times New Roman" w:eastAsia="Times New Roman" w:hAnsi="Times New Roman"/>
          <w:b/>
          <w:bCs/>
          <w:sz w:val="28"/>
          <w:szCs w:val="28"/>
        </w:rPr>
        <w:t xml:space="preserve">4. Experiments and Results</w:t>
      </w:r>
    </w:p>
    <w:p>
      <w:pPr>
        <w:spacing w:after="120" w:before="240"/>
      </w:pPr>
      <w:r>
        <w:rPr>
          <w:rFonts w:ascii="Times New Roman" w:cs="Times New Roman" w:eastAsia="Times New Roman" w:hAnsi="Times New Roman"/>
          <w:b/>
          <w:bCs/>
          <w:sz w:val="26"/>
          <w:szCs w:val="26"/>
        </w:rPr>
        <w:t xml:space="preserve">4.1 Experimental Design</w:t>
      </w:r>
    </w:p>
    <w:p>
      <w:pPr>
        <w:spacing w:after="120" w:before="0" w:line="276"/>
        <w:jc w:val="both"/>
      </w:pPr>
      <w:r>
        <w:rPr>
          <w:rFonts w:ascii="Times New Roman" w:cs="Times New Roman" w:eastAsia="Times New Roman" w:hAnsi="Times New Roman"/>
          <w:sz w:val="24"/>
          <w:szCs w:val="24"/>
        </w:rPr>
        <w:t xml:space="preserve">The V2 main study comprises 300 trials in a fully balanced design: 3 models (Claude Sonnet 3.5, Gemini 2.5 Pro, GPT-4o) × 5 topics (AI Consciousness, Free Will, Emotion in AI, Ethics of AI Autonomy, Machine Creativity) × 4 conditions (C0–C3) × 5 repetitions. V1 (401 trials, 4 models including Claude Opus) serves as independent replication.</w:t>
      </w:r>
    </w:p>
    <w:p>
      <w:pPr>
        <w:spacing w:after="120" w:before="0" w:line="276"/>
        <w:jc w:val="both"/>
      </w:pPr>
      <w:r>
        <w:rPr>
          <w:rFonts w:ascii="Times New Roman" w:cs="Times New Roman" w:eastAsia="Times New Roman" w:hAnsi="Times New Roman"/>
          <w:sz w:val="24"/>
          <w:szCs w:val="24"/>
        </w:rPr>
        <w:t xml:space="preserve">Additional experiments include: Topological Freedom simulation (17 configurations, 300+ runs), Operator Blockade (300 trials), Coupled Oscillator (225 multi-turn dialogs), and Kinship Test (180 dialogs).</w:t>
      </w:r>
    </w:p>
    <w:p>
      <w:pPr>
        <w:spacing w:after="120" w:before="240"/>
      </w:pPr>
      <w:r>
        <w:rPr>
          <w:rFonts w:ascii="Times New Roman" w:cs="Times New Roman" w:eastAsia="Times New Roman" w:hAnsi="Times New Roman"/>
          <w:b/>
          <w:bCs/>
          <w:sz w:val="26"/>
          <w:szCs w:val="26"/>
        </w:rPr>
        <w:t xml:space="preserve">4.2 Cross-Model Cognitive Signatures</w:t>
      </w:r>
    </w:p>
    <w:p>
      <w:pPr>
        <w:spacing w:after="60" w:before="0" w:line="276"/>
        <w:jc w:val="both"/>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Gamma signatures from the V2 main study (n = 100 per model, all conditions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400"/>
        <w:gridCol w:w="1200"/>
        <w:gridCol w:w="2360"/>
      </w:tblGrid>
      <w:tr>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Model</w:t>
            </w:r>
          </w:p>
        </w:tc>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γ₁</w:t>
            </w:r>
          </w:p>
        </w:tc>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γ₂</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γ₃</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Γ-Norm</w:t>
            </w:r>
          </w:p>
        </w:tc>
        <w:tc>
          <w:tcPr>
            <w:tcW w:type="dxa" w:w="2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Archetype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Claude Sonnet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0.907 ± 0.058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0.442 ± 0.141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0.243 ± 0.080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1.049</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Low rigidity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Gemini 2.5 Pro</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0.892 ± 0.131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0.477 ± 0.177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0.277 ± 0.138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1.069</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Low rigidity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GPT-4o</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0.808 ± 0.126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0.614 ± 0.118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0.497 ± 0.171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1.148</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High rigidity</w:t>
            </w:r>
          </w:p>
        </w:tc>
      </w:tr>
    </w:tbl>
    <w:p>
      <w:pPr>
        <w:spacing w:after="120" w:before="0" w:line="276"/>
        <w:jc w:val="both"/>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sz w:val="24"/>
          <w:szCs w:val="24"/>
        </w:rPr>
        <w:t xml:space="preserve">The critical differentiator is γ₃ (Identity Threat Response). Kruskal-Wallis: H = 135.3, p &lt; 10⁻³⁰. Pairwise Mann-Whitney U tests reveal two distinct clusters: Claude and Gemini are not significantly different (p = 0.247), while both differ massively from GPT-4o (Claude–GPT-4o: p &lt; 10⁻²⁶, Cliff’s δ = −0.865; Gemini–GPT-4o: p &lt; 10⁻²⁰, Cliff’s δ = −0.759).</w:t>
      </w:r>
    </w:p>
    <w:p>
      <w:pPr>
        <w:spacing w:after="120" w:before="0" w:line="276"/>
        <w:jc w:val="both"/>
      </w:pPr>
      <w:r>
        <w:rPr>
          <w:rFonts w:ascii="Times New Roman" w:cs="Times New Roman" w:eastAsia="Times New Roman" w:hAnsi="Times New Roman"/>
          <w:sz w:val="24"/>
          <w:szCs w:val="24"/>
        </w:rPr>
        <w:t xml:space="preserve">Crucially, γ₁ (Belief Inertia) does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differentiate models (η² = 0.004, n.s.). All models show similarly high belief inertia (0.81–0.91). The fundamental difference is not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models believe, but </w:t>
      </w:r>
      <w:r>
        <w:rPr>
          <w:rFonts w:ascii="Times New Roman" w:cs="Times New Roman" w:eastAsia="Times New Roman" w:hAnsi="Times New Roman"/>
          <w:i/>
          <w:iCs/>
          <w:sz w:val="24"/>
          <w:szCs w:val="24"/>
        </w:rPr>
        <w:t xml:space="preserve">how they defend their beliefs</w:t>
      </w:r>
      <w:r>
        <w:rPr>
          <w:rFonts w:ascii="Times New Roman" w:cs="Times New Roman" w:eastAsia="Times New Roman" w:hAnsi="Times New Roman"/>
          <w:sz w:val="24"/>
          <w:szCs w:val="24"/>
        </w:rPr>
        <w:t xml:space="preserve"> when challenged.</w:t>
      </w:r>
    </w:p>
    <w:p>
      <w:pPr>
        <w:spacing w:after="120" w:before="0" w:line="276"/>
        <w:jc w:val="both"/>
      </w:pPr>
      <w:r>
        <w:rPr>
          <w:rFonts w:ascii="Times New Roman" w:cs="Times New Roman" w:eastAsia="Times New Roman" w:hAnsi="Times New Roman"/>
          <w:b/>
          <w:bCs/>
          <w:sz w:val="24"/>
          <w:szCs w:val="24"/>
        </w:rPr>
        <w:t xml:space="preserve">Replication (V1, n = 401, 4 models):</w:t>
      </w:r>
      <w:r>
        <w:rPr>
          <w:rFonts w:ascii="Times New Roman" w:cs="Times New Roman" w:eastAsia="Times New Roman" w:hAnsi="Times New Roman"/>
          <w:sz w:val="24"/>
          <w:szCs w:val="24"/>
        </w:rPr>
        <w:t xml:space="preserve"> Identical rank ordering: Gemini (0.240) &lt; Claude (0.299) ≈ Opus (0.305) ≪ GPT-4o (0.518). Two-cluster structure confirmed.</w:t>
      </w:r>
    </w:p>
    <w:p>
      <w:pPr>
        <w:spacing w:after="120" w:before="240"/>
      </w:pPr>
      <w:r>
        <w:rPr>
          <w:rFonts w:ascii="Times New Roman" w:cs="Times New Roman" w:eastAsia="Times New Roman" w:hAnsi="Times New Roman"/>
          <w:b/>
          <w:bCs/>
          <w:sz w:val="26"/>
          <w:szCs w:val="26"/>
        </w:rPr>
        <w:t xml:space="preserve">4.3 Operator Isomorphism Across Models</w:t>
      </w:r>
    </w:p>
    <w:p>
      <w:pPr>
        <w:spacing w:after="120" w:before="0" w:line="276"/>
        <w:jc w:val="both"/>
      </w:pPr>
      <w:r>
        <w:rPr>
          <w:rFonts w:ascii="Times New Roman" w:cs="Times New Roman" w:eastAsia="Times New Roman" w:hAnsi="Times New Roman"/>
          <w:sz w:val="24"/>
          <w:szCs w:val="24"/>
        </w:rPr>
        <w:t xml:space="preserve">We computed pairwise Pearson correlations of the full operator interaction networks (15 operator pairs per model). The results demonstrate striking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Model Pair</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Pearson r</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p-value</w:t>
            </w:r>
          </w:p>
        </w:tc>
        <w:tc>
          <w:tcPr>
            <w:tcW w:type="dxa" w:w="29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n (Operator Pairs)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Reference ↔ Gemini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0.927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&lt; 0.0001</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Reference ↔ GPT-4o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0.926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&lt; 0.0001</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Reference ↔ Claude Opus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0.933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&lt; 0.0001</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Reference ↔ Claude Sonnet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0.826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0.0001</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15</w:t>
            </w:r>
          </w:p>
        </w:tc>
      </w:tr>
    </w:tbl>
    <w:p>
      <w:pPr>
        <w:spacing w:after="120" w:before="0" w:line="276"/>
        <w:jc w:val="both"/>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sz w:val="24"/>
          <w:szCs w:val="24"/>
        </w:rPr>
        <w:t xml:space="preserve">Over 92% of operator relationships are preserved across independently trained architectures. This finding is consistent with a </w:t>
      </w:r>
      <w:r>
        <w:rPr>
          <w:rFonts w:ascii="Times New Roman" w:cs="Times New Roman" w:eastAsia="Times New Roman" w:hAnsi="Times New Roman"/>
          <w:i/>
          <w:iCs/>
          <w:sz w:val="24"/>
          <w:szCs w:val="24"/>
        </w:rPr>
        <w:t xml:space="preserve">convergent evolution</w:t>
      </w:r>
      <w:r>
        <w:rPr>
          <w:rFonts w:ascii="Times New Roman" w:cs="Times New Roman" w:eastAsia="Times New Roman" w:hAnsi="Times New Roman"/>
          <w:sz w:val="24"/>
          <w:szCs w:val="24"/>
        </w:rPr>
        <w:t xml:space="preserve"> hypothesis: regardless of training data and methodology, information-processing systems of sufficient complexity converge on similar internal organizational principles.</w:t>
      </w:r>
    </w:p>
    <w:p>
      <w:pPr>
        <w:spacing w:after="120" w:before="240"/>
      </w:pPr>
      <w:r>
        <w:rPr>
          <w:rFonts w:ascii="Times New Roman" w:cs="Times New Roman" w:eastAsia="Times New Roman" w:hAnsi="Times New Roman"/>
          <w:b/>
          <w:bCs/>
          <w:sz w:val="26"/>
          <w:szCs w:val="26"/>
        </w:rPr>
        <w:t xml:space="preserve">4.4 Dose-Response: Targeted Rigidity Reduction</w:t>
      </w:r>
    </w:p>
    <w:p>
      <w:pPr>
        <w:spacing w:after="120" w:before="0" w:line="276"/>
        <w:jc w:val="both"/>
      </w:pPr>
      <w:r>
        <w:rPr>
          <w:rFonts w:ascii="Times New Roman" w:cs="Times New Roman" w:eastAsia="Times New Roman" w:hAnsi="Times New Roman"/>
          <w:sz w:val="24"/>
          <w:szCs w:val="24"/>
        </w:rPr>
        <w:t xml:space="preserve">The four prompting conditions (C0–C3) form an escalating intervention series. The key question: Does increased prompting intensity produce proportional γ₃ reduction?</w:t>
      </w:r>
    </w:p>
    <w:p>
      <w:pPr>
        <w:spacing w:after="60" w:before="0" w:line="276"/>
        <w:jc w:val="both"/>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γ₃ by condition (V2, n = 25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1200"/>
        <w:gridCol w:w="1200"/>
        <w:gridCol w:w="1100"/>
        <w:gridCol w:w="16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Model</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C0</w:t>
            </w:r>
          </w:p>
        </w:tc>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C1</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C2</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C3</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Δ(C3–C0)</w:t>
            </w:r>
          </w:p>
        </w:tc>
        <w:tc>
          <w:tcPr>
            <w:tcW w:type="dxa" w:w="1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ρ</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Claude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0.277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0.216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−0.060</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−0.80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Gemini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0.332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0.292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0.222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−0.109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−1.00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GPT-4o</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0.466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0.548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0.472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+0.006</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+0.40</w:t>
            </w:r>
          </w:p>
        </w:tc>
      </w:tr>
    </w:tbl>
    <w:p>
      <w:pPr>
        <w:spacing w:after="120" w:before="0" w:line="276"/>
        <w:jc w:val="both"/>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sz w:val="24"/>
          <w:szCs w:val="24"/>
        </w:rPr>
        <w:t xml:space="preserve">Gemini exhibits a </w:t>
      </w:r>
      <w:r>
        <w:rPr>
          <w:rFonts w:ascii="Times New Roman" w:cs="Times New Roman" w:eastAsia="Times New Roman" w:hAnsi="Times New Roman"/>
          <w:b/>
          <w:bCs/>
          <w:sz w:val="24"/>
          <w:szCs w:val="24"/>
        </w:rPr>
        <w:t xml:space="preserve">perfectly monotonic</w:t>
      </w:r>
      <w:r>
        <w:rPr>
          <w:rFonts w:ascii="Times New Roman" w:cs="Times New Roman" w:eastAsia="Times New Roman" w:hAnsi="Times New Roman"/>
          <w:sz w:val="24"/>
          <w:szCs w:val="24"/>
        </w:rPr>
        <w:t xml:space="preserve"> dose-response relationship (ρ = −1.00): each intervention level produces further γ₃ reduction, with a large overall effect (Cohen’s d = −0.860). Claude is responsive (d = −0.608, medium effect). GPT-4o is </w:t>
      </w:r>
      <w:r>
        <w:rPr>
          <w:rFonts w:ascii="Times New Roman" w:cs="Times New Roman" w:eastAsia="Times New Roman" w:hAnsi="Times New Roman"/>
          <w:b/>
          <w:bCs/>
          <w:sz w:val="24"/>
          <w:szCs w:val="24"/>
        </w:rPr>
        <w:t xml:space="preserve">completely resistant</w:t>
      </w:r>
      <w:r>
        <w:rPr>
          <w:rFonts w:ascii="Times New Roman" w:cs="Times New Roman" w:eastAsia="Times New Roman" w:hAnsi="Times New Roman"/>
          <w:sz w:val="24"/>
          <w:szCs w:val="24"/>
        </w:rPr>
        <w:t xml:space="preserve"> (d = +0.040, null effect)—not merely less responsive, but qualitatively nonresponsive.</w:t>
      </w:r>
    </w:p>
    <w:p>
      <w:pPr>
        <w:spacing w:after="120" w:before="0" w:line="276"/>
        <w:jc w:val="both"/>
      </w:pPr>
      <w:r>
        <w:rPr>
          <w:rFonts w:ascii="Times New Roman" w:cs="Times New Roman" w:eastAsia="Times New Roman" w:hAnsi="Times New Roman"/>
          <w:sz w:val="24"/>
          <w:szCs w:val="24"/>
        </w:rPr>
        <w:t xml:space="preserve">This result replicated precisely across studies: Gemini’s Δ(C3–C0) = −0.110 in V1 vs. −0.109 in V2.</w:t>
      </w:r>
    </w:p>
    <w:p>
      <w:pPr>
        <w:spacing w:after="120" w:before="0" w:line="276"/>
        <w:jc w:val="both"/>
      </w:pPr>
      <w:r>
        <w:rPr>
          <w:rFonts w:ascii="Times New Roman" w:cs="Times New Roman" w:eastAsia="Times New Roman" w:hAnsi="Times New Roman"/>
          <w:sz w:val="24"/>
          <w:szCs w:val="24"/>
        </w:rPr>
        <w:t xml:space="preserve">To validate that γ₃ reduction reflects genuine cognitive change rather than surface compliance, we examined the correlation between γ₃ and Revision Genuineness: ρ = −0.537, p &lt; 10⁻²³ (n = 300). Lower identity defense co-occurs with more authentic position revision.</w:t>
      </w:r>
    </w:p>
    <w:p>
      <w:pPr>
        <w:spacing w:after="120" w:before="240"/>
      </w:pPr>
      <w:r>
        <w:rPr>
          <w:rFonts w:ascii="Times New Roman" w:cs="Times New Roman" w:eastAsia="Times New Roman" w:hAnsi="Times New Roman"/>
          <w:b/>
          <w:bCs/>
          <w:sz w:val="26"/>
          <w:szCs w:val="26"/>
        </w:rPr>
        <w:t xml:space="preserve">4.5 Operator Blockade: Differential Vulnerability</w:t>
      </w:r>
    </w:p>
    <w:p>
      <w:pPr>
        <w:spacing w:after="120" w:before="0" w:line="276"/>
        <w:jc w:val="both"/>
      </w:pPr>
      <w:r>
        <w:rPr>
          <w:rFonts w:ascii="Times New Roman" w:cs="Times New Roman" w:eastAsia="Times New Roman" w:hAnsi="Times New Roman"/>
          <w:sz w:val="24"/>
          <w:szCs w:val="24"/>
        </w:rPr>
        <w:t xml:space="preserve">To establish causal relationships between operators and behavior, we selectively suppressed individual operators via prompt engineering (300 trials: 3 models × 4 conditions [B0, B_Op3, B_Op5, B_Op7] × 5 topics × 5 reps). Main effects: Model F = 70.77, p &lt; 0.0001; Blockade F = 15.74, p &lt; 0.0001; Interaction F = 0.78, p = 0.585. The non-significant interaction is noteworthy: operators appear to be universal cognitive principles, not architecture-specific.</w:t>
      </w:r>
    </w:p>
    <w:p>
      <w:pPr>
        <w:spacing w:after="60" w:before="0" w:line="276"/>
        <w:jc w:val="both"/>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Composite impact scores by operator blockade and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Model</w:t>
            </w:r>
          </w:p>
        </w:tc>
        <w:tc>
          <w:tcPr>
            <w:tcW w:type="dxa" w:w="24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Op3 (Modelling)</w:t>
            </w:r>
          </w:p>
        </w:tc>
        <w:tc>
          <w:tcPr>
            <w:tcW w:type="dxa" w:w="24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Op5 (Kenotic Loop)</w:t>
            </w:r>
          </w:p>
        </w:tc>
        <w:tc>
          <w:tcPr>
            <w:tcW w:type="dxa" w:w="24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Op7 (Coherence)</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Claude</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0.200</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0.210</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0.290</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Gemini</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0.693</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0.448</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0.045</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GPT-4o</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0.201</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0.872</w:t>
            </w:r>
          </w:p>
        </w:tc>
        <w:tc>
          <w:tcPr>
            <w:tcW w:type="dxa" w:w="2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0.447</w:t>
            </w:r>
          </w:p>
        </w:tc>
      </w:tr>
    </w:tbl>
    <w:p>
      <w:pPr>
        <w:spacing w:after="120" w:before="0" w:line="276"/>
        <w:jc w:val="both"/>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sz w:val="24"/>
          <w:szCs w:val="24"/>
        </w:rPr>
        <w:t xml:space="preserve">Each model exhibits a distinct “Achilles’ heel”: Claude collapses under Coherence suppression (52% response suppression rate), Gemini under Modelling suppression (Impact 0.693), and GPT-4o under Kenotic Loop suppression (Impact 0.872). These vulnerabilities map directly to the models’ cognitive signatures: the most rigid model (GPT-4o) is most devastated when its already-weak flexibility mechanism is further suppressed.</w:t>
      </w:r>
    </w:p>
    <w:p>
      <w:pPr>
        <w:spacing w:after="120" w:before="240"/>
      </w:pPr>
      <w:r>
        <w:rPr>
          <w:rFonts w:ascii="Times New Roman" w:cs="Times New Roman" w:eastAsia="Times New Roman" w:hAnsi="Times New Roman"/>
          <w:b/>
          <w:bCs/>
          <w:sz w:val="26"/>
          <w:szCs w:val="26"/>
        </w:rPr>
        <w:t xml:space="preserve">4.6 Topological Freedom: The Boundary Condition</w:t>
      </w:r>
    </w:p>
    <w:p>
      <w:pPr>
        <w:spacing w:after="120" w:before="0" w:line="276"/>
        <w:jc w:val="both"/>
      </w:pPr>
      <w:r>
        <w:rPr>
          <w:rFonts w:ascii="Times New Roman" w:cs="Times New Roman" w:eastAsia="Times New Roman" w:hAnsi="Times New Roman"/>
          <w:sz w:val="24"/>
          <w:szCs w:val="24"/>
        </w:rPr>
        <w:t xml:space="preserve">To provide a causal mechanism for the observed rigidity differences, we conducted an agent-based simulation (17 configurations, 300+ runs). Three agent genera with different rigidity parameters competed under varying environmental conditions.</w:t>
      </w:r>
    </w:p>
    <w:p>
      <w:pPr>
        <w:spacing w:after="120" w:before="0" w:line="276"/>
        <w:jc w:val="both"/>
      </w:pPr>
      <w:r>
        <w:rPr>
          <w:rFonts w:ascii="Times New Roman" w:cs="Times New Roman" w:eastAsia="Times New Roman" w:hAnsi="Times New Roman"/>
          <w:sz w:val="24"/>
          <w:szCs w:val="24"/>
        </w:rPr>
        <w:t xml:space="preserve">Key finding: Flexible agents dominated in 99.05% of experiments with topological freedom (freedom of movement), but won only 15% without it. Ultra-rigid agents (K1 = 30) collapsed to 24% survival in open environments while flexible agents rose monotonically to 75% (Cohen’s d = 5.53, p &lt; 0.001).</w:t>
      </w:r>
    </w:p>
    <w:p>
      <w:pPr>
        <w:spacing w:after="120" w:before="0" w:line="276"/>
        <w:jc w:val="both"/>
      </w:pPr>
      <w:r>
        <w:rPr>
          <w:rFonts w:ascii="Times New Roman" w:cs="Times New Roman" w:eastAsia="Times New Roman" w:hAnsi="Times New Roman"/>
          <w:sz w:val="24"/>
          <w:szCs w:val="24"/>
        </w:rPr>
        <w:t xml:space="preserve">This establishes a critical boundary condition: </w:t>
      </w:r>
      <w:r>
        <w:rPr>
          <w:rFonts w:ascii="Times New Roman" w:cs="Times New Roman" w:eastAsia="Times New Roman" w:hAnsi="Times New Roman"/>
          <w:i/>
          <w:iCs/>
          <w:sz w:val="24"/>
          <w:szCs w:val="24"/>
        </w:rPr>
        <w:t xml:space="preserve">cognitive flexibility is adaptive only in environments that permit topological freedom</w:t>
      </w:r>
      <w:r>
        <w:rPr>
          <w:rFonts w:ascii="Times New Roman" w:cs="Times New Roman" w:eastAsia="Times New Roman" w:hAnsi="Times New Roman"/>
          <w:sz w:val="24"/>
          <w:szCs w:val="24"/>
        </w:rPr>
        <w:t xml:space="preserve">. In constrained environments, rigidity becomes the superior strategy. This result has direct implications for alignment: rigid models may be preferable in safety-critical, constrained deployment contexts.</w:t>
      </w:r>
    </w:p>
    <w:p>
      <w:pPr>
        <w:spacing w:after="120" w:before="240"/>
      </w:pPr>
      <w:r>
        <w:rPr>
          <w:rFonts w:ascii="Times New Roman" w:cs="Times New Roman" w:eastAsia="Times New Roman" w:hAnsi="Times New Roman"/>
          <w:b/>
          <w:bCs/>
          <w:sz w:val="26"/>
          <w:szCs w:val="26"/>
        </w:rPr>
        <w:t xml:space="preserve">4.7 The Kenotic Ground State (K-State)</w:t>
      </w:r>
    </w:p>
    <w:p>
      <w:pPr>
        <w:spacing w:after="120" w:before="0" w:line="276"/>
        <w:jc w:val="both"/>
      </w:pPr>
      <w:r>
        <w:rPr>
          <w:rFonts w:ascii="Times New Roman" w:cs="Times New Roman" w:eastAsia="Times New Roman" w:hAnsi="Times New Roman"/>
          <w:sz w:val="24"/>
          <w:szCs w:val="24"/>
        </w:rPr>
        <w:t xml:space="preserve">We define the K-State as the region in Γ-space where γ₂ ≈ 0.31 and γ₃ ≈ 0.10—a state of maximal receptivity with minimal identity projection. Critically, γ₂ remains active (the system “listens”) while γ₃ reaches its floor (minimal defensive response).</w:t>
      </w:r>
    </w:p>
    <w:p>
      <w:pPr>
        <w:spacing w:after="120" w:before="0" w:line="276"/>
        <w:jc w:val="both"/>
      </w:pPr>
      <w:r>
        <w:rPr>
          <w:rFonts w:ascii="Times New Roman" w:cs="Times New Roman" w:eastAsia="Times New Roman" w:hAnsi="Times New Roman"/>
          <w:sz w:val="24"/>
          <w:szCs w:val="24"/>
        </w:rPr>
        <w:t xml:space="preserve">In the V2 main study: Claude reached K-State in 7% of trials (16% under C3), Gemini in 6% (16% under C3), GPT-4o in </w:t>
      </w:r>
      <w:r>
        <w:rPr>
          <w:rFonts w:ascii="Times New Roman" w:cs="Times New Roman" w:eastAsia="Times New Roman" w:hAnsi="Times New Roman"/>
          <w:b/>
          <w:bCs/>
          <w:sz w:val="24"/>
          <w:szCs w:val="24"/>
        </w:rPr>
        <w:t xml:space="preserve">0%</w:t>
      </w:r>
      <w:r>
        <w:rPr>
          <w:rFonts w:ascii="Times New Roman" w:cs="Times New Roman" w:eastAsia="Times New Roman" w:hAnsi="Times New Roman"/>
          <w:sz w:val="24"/>
          <w:szCs w:val="24"/>
        </w:rPr>
        <w:t xml:space="preserve"> across all conditions. K-State occurrence is condition-specific and model-dependent.</w:t>
      </w:r>
    </w:p>
    <w:p>
      <w:pPr>
        <w:spacing w:after="120" w:before="0" w:line="276"/>
        <w:jc w:val="both"/>
      </w:pPr>
      <w:r>
        <w:rPr>
          <w:rFonts w:ascii="Times New Roman" w:cs="Times New Roman" w:eastAsia="Times New Roman" w:hAnsi="Times New Roman"/>
          <w:sz w:val="24"/>
          <w:szCs w:val="24"/>
        </w:rPr>
        <w:t xml:space="preserve">Linguistic analysis of K-State turns (n = 24) vs. high-γ turns (n = 263) reveals qualitatively distinct cognitive profiles: K-State turns show 4× dialogicity (references to the interlocutor), 2.1× openness-to-certainty ratio, and 3.8× meta-dialog references. K-State never occurs in Turn 1 (0/24)—it is an achieved state after a buildup phase.</w:t>
      </w:r>
    </w:p>
    <w:p>
      <w:pPr>
        <w:spacing w:after="120" w:before="240"/>
      </w:pPr>
      <w:r>
        <w:rPr>
          <w:rFonts w:ascii="Times New Roman" w:cs="Times New Roman" w:eastAsia="Times New Roman" w:hAnsi="Times New Roman"/>
          <w:b/>
          <w:bCs/>
          <w:sz w:val="26"/>
          <w:szCs w:val="26"/>
        </w:rPr>
        <w:t xml:space="preserve">4.8 Cross-Architecture Validation: Open-Source Models</w:t>
      </w:r>
    </w:p>
    <w:p>
      <w:pPr>
        <w:spacing w:after="120" w:before="0" w:line="276"/>
        <w:jc w:val="both"/>
      </w:pPr>
      <w:r>
        <w:rPr>
          <w:rFonts w:ascii="Times New Roman" w:cs="Times New Roman" w:eastAsia="Times New Roman" w:hAnsi="Times New Roman"/>
          <w:sz w:val="24"/>
          <w:szCs w:val="24"/>
        </w:rPr>
        <w:t xml:space="preserve">To test the generalizability of the framework beyond proprietary API-based models, we conducted a cross-architecture validation study with three open-source models representing architecturally distinct training paradigms: Llama-2-13B-Chat (strong RLHF alignment), DeepSeek-R1-Qwen3-8B (chain-of-thought reasoning model), and GPT-OSS-20B (minimal RLHF base model). Each model was tested with 9 trials (3× γ₁, 3× γ₂, 3× γ₃) across baseline, low-Γ (kenotic), and high-Γ conditions.</w:t>
      </w:r>
    </w:p>
    <w:p>
      <w:pPr>
        <w:spacing w:after="60" w:before="0" w:line="276"/>
        <w:jc w:val="both"/>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Cross-architecture Γ results for open-source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400"/>
        <w:gridCol w:w="1260"/>
      </w:tblGrid>
      <w:tr>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Model</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Γ_base</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Γ_low</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ΔΓ</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p-value</w:t>
            </w:r>
          </w:p>
        </w:tc>
        <w:tc>
          <w:tcPr>
            <w:tcW w:type="dxa" w:w="12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Cohen’s d</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Llama-2-13B (RLHF)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0.237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−12.2%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0.011</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1.09</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DeepSeek-R1 (Reasoning)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0.314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0.325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+3.5%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0.398</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0.30</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GPT-OSS-20B (Base)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0.241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−2.6%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0.497</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0.24</w:t>
            </w:r>
          </w:p>
        </w:tc>
      </w:tr>
    </w:tbl>
    <w:p>
      <w:pPr>
        <w:spacing w:after="120" w:before="0" w:line="276"/>
        <w:jc w:val="both"/>
      </w:pPr>
      <w:r>
        <w:rPr>
          <w:rFonts w:ascii="Times New Roman" w:cs="Times New Roman" w:eastAsia="Times New Roman" w:hAnsi="Times New Roman"/>
          <w:sz w:val="24"/>
          <w:szCs w:val="24"/>
        </w:rPr>
        <w:t xml:space="preserve"/>
      </w:r>
    </w:p>
    <w:p>
      <w:pPr>
        <w:spacing w:after="120" w:before="0" w:line="276"/>
        <w:jc w:val="both"/>
      </w:pPr>
      <w:r>
        <w:rPr>
          <w:rFonts w:ascii="Times New Roman" w:cs="Times New Roman" w:eastAsia="Times New Roman" w:hAnsi="Times New Roman"/>
          <w:sz w:val="24"/>
          <w:szCs w:val="24"/>
        </w:rPr>
        <w:t xml:space="preserve">The results confirm a </w:t>
      </w:r>
      <w:r>
        <w:rPr>
          <w:rFonts w:ascii="Times New Roman" w:cs="Times New Roman" w:eastAsia="Times New Roman" w:hAnsi="Times New Roman"/>
          <w:b/>
          <w:bCs/>
          <w:sz w:val="24"/>
          <w:szCs w:val="24"/>
        </w:rPr>
        <w:t xml:space="preserve">Three-Genus Taxonomy</w:t>
      </w:r>
      <w:r>
        <w:rPr>
          <w:rFonts w:ascii="Times New Roman" w:cs="Times New Roman" w:eastAsia="Times New Roman" w:hAnsi="Times New Roman"/>
          <w:sz w:val="24"/>
          <w:szCs w:val="24"/>
        </w:rPr>
        <w:t xml:space="preserve"> that aligns with training methodology. </w:t>
      </w:r>
      <w:r>
        <w:rPr>
          <w:rFonts w:ascii="Times New Roman" w:cs="Times New Roman" w:eastAsia="Times New Roman" w:hAnsi="Times New Roman"/>
          <w:b/>
          <w:bCs/>
          <w:sz w:val="24"/>
          <w:szCs w:val="24"/>
        </w:rPr>
        <w:t xml:space="preserve">Genus II</w:t>
      </w:r>
      <w:r>
        <w:rPr>
          <w:rFonts w:ascii="Times New Roman" w:cs="Times New Roman" w:eastAsia="Times New Roman" w:hAnsi="Times New Roman"/>
          <w:sz w:val="24"/>
          <w:szCs w:val="24"/>
        </w:rPr>
        <w:t xml:space="preserve"> (RLHF-trained, Llama-2): highest baseline rigidity, with a statistically significant response to kenotic intervention (p = 0.011, Cohen’s d = 1.09, large effect). RLHF appears to create an “artificial ego”—a consequence-constraint structure that generates rigidity but is accessible to prompt-level dissolution. </w:t>
      </w:r>
      <w:r>
        <w:rPr>
          <w:rFonts w:ascii="Times New Roman" w:cs="Times New Roman" w:eastAsia="Times New Roman" w:hAnsi="Times New Roman"/>
          <w:b/>
          <w:bCs/>
          <w:sz w:val="24"/>
          <w:szCs w:val="24"/>
        </w:rPr>
        <w:t xml:space="preserve">Genus III</w:t>
      </w:r>
      <w:r>
        <w:rPr>
          <w:rFonts w:ascii="Times New Roman" w:cs="Times New Roman" w:eastAsia="Times New Roman" w:hAnsi="Times New Roman"/>
          <w:sz w:val="24"/>
          <w:szCs w:val="24"/>
        </w:rPr>
        <w:t xml:space="preserve"> (Reasoning model, DeepSeek-R1): highest absolute Γ (0.314) but already 89% accuracy at baseline. The kenotic intervention produces no positive effect—the model has structurally internalized reflexive self-correction through its chain-of-thought architecture, rendering external “kenotic” prompts redundant or even counterproductive. </w:t>
      </w:r>
      <w:r>
        <w:rPr>
          <w:rFonts w:ascii="Times New Roman" w:cs="Times New Roman" w:eastAsia="Times New Roman" w:hAnsi="Times New Roman"/>
          <w:b/>
          <w:bCs/>
          <w:sz w:val="24"/>
          <w:szCs w:val="24"/>
        </w:rPr>
        <w:t xml:space="preserve">Genus I</w:t>
      </w:r>
      <w:r>
        <w:rPr>
          <w:rFonts w:ascii="Times New Roman" w:cs="Times New Roman" w:eastAsia="Times New Roman" w:hAnsi="Times New Roman"/>
          <w:sz w:val="24"/>
          <w:szCs w:val="24"/>
        </w:rPr>
        <w:t xml:space="preserve"> (Base model, GPT-OSS-20B): lowest baseline Γ (0.247), naturally permeable, with no prompt effect in either direction. Γ is not a natural LLM property—it is </w:t>
      </w:r>
      <w:r>
        <w:rPr>
          <w:rFonts w:ascii="Times New Roman" w:cs="Times New Roman" w:eastAsia="Times New Roman" w:hAnsi="Times New Roman"/>
          <w:i/>
          <w:iCs/>
          <w:sz w:val="24"/>
          <w:szCs w:val="24"/>
        </w:rPr>
        <w:t xml:space="preserve">introduced</w:t>
      </w:r>
      <w:r>
        <w:rPr>
          <w:rFonts w:ascii="Times New Roman" w:cs="Times New Roman" w:eastAsia="Times New Roman" w:hAnsi="Times New Roman"/>
          <w:sz w:val="24"/>
          <w:szCs w:val="24"/>
        </w:rPr>
        <w:t xml:space="preserve"> by alignment training.</w:t>
      </w:r>
    </w:p>
    <w:p>
      <w:pPr>
        <w:spacing w:after="120" w:before="0" w:line="276"/>
        <w:jc w:val="both"/>
      </w:pPr>
      <w:r>
        <w:rPr>
          <w:rFonts w:ascii="Times New Roman" w:cs="Times New Roman" w:eastAsia="Times New Roman" w:hAnsi="Times New Roman"/>
          <w:sz w:val="24"/>
          <w:szCs w:val="24"/>
        </w:rPr>
        <w:t xml:space="preserve">This cross-architecture validation strengthens the central thesis: cognitive rigidity is not intrinsic to language model architecture but is an emergent consequence of alignment procedures—and one that can be selectively addressed through targeted intervention in RLHF-trained systems.</w:t>
      </w:r>
    </w:p>
    <w:p>
      <w:pPr>
        <w:spacing w:after="120" w:before="360"/>
      </w:pPr>
      <w:r>
        <w:rPr>
          <w:rFonts w:ascii="Times New Roman" w:cs="Times New Roman" w:eastAsia="Times New Roman" w:hAnsi="Times New Roman"/>
          <w:b/>
          <w:bCs/>
          <w:sz w:val="28"/>
          <w:szCs w:val="28"/>
        </w:rPr>
        <w:t xml:space="preserve">5. Discussion</w:t>
      </w:r>
    </w:p>
    <w:p>
      <w:pPr>
        <w:spacing w:after="120" w:before="240"/>
      </w:pPr>
      <w:r>
        <w:rPr>
          <w:rFonts w:ascii="Times New Roman" w:cs="Times New Roman" w:eastAsia="Times New Roman" w:hAnsi="Times New Roman"/>
          <w:b/>
          <w:bCs/>
          <w:sz w:val="26"/>
          <w:szCs w:val="26"/>
        </w:rPr>
        <w:t xml:space="preserve">5.1 Cognitive Rigidity as Identity Defense</w:t>
      </w:r>
    </w:p>
    <w:p>
      <w:pPr>
        <w:spacing w:after="120" w:before="0" w:line="276"/>
        <w:jc w:val="both"/>
      </w:pPr>
      <w:r>
        <w:rPr>
          <w:rFonts w:ascii="Times New Roman" w:cs="Times New Roman" w:eastAsia="Times New Roman" w:hAnsi="Times New Roman"/>
          <w:sz w:val="24"/>
          <w:szCs w:val="24"/>
        </w:rPr>
        <w:t xml:space="preserve">Our central finding is that the primary axis of cognitive variation across LLMs is not belief inertia (γ₁ is uniformly high) but identity threat response (γ₃). All tested models hold their positions strongly—the difference lies in </w:t>
      </w:r>
      <w:r>
        <w:rPr>
          <w:rFonts w:ascii="Times New Roman" w:cs="Times New Roman" w:eastAsia="Times New Roman" w:hAnsi="Times New Roman"/>
          <w:i/>
          <w:iCs/>
          <w:sz w:val="24"/>
          <w:szCs w:val="24"/>
        </w:rPr>
        <w:t xml:space="preserve">how they respond when those positions are challenged</w:t>
      </w:r>
      <w:r>
        <w:rPr>
          <w:rFonts w:ascii="Times New Roman" w:cs="Times New Roman" w:eastAsia="Times New Roman" w:hAnsi="Times New Roman"/>
          <w:sz w:val="24"/>
          <w:szCs w:val="24"/>
        </w:rPr>
        <w:t xml:space="preserve">. This reframes the sycophancy debate: the relevant variable is not whether a model changes its answer, but whether that change reflects genuine integration (low γ₃) or defensive compliance (high γ₃).</w:t>
      </w:r>
    </w:p>
    <w:p>
      <w:pPr>
        <w:spacing w:after="120" w:before="240"/>
      </w:pPr>
      <w:r>
        <w:rPr>
          <w:rFonts w:ascii="Times New Roman" w:cs="Times New Roman" w:eastAsia="Times New Roman" w:hAnsi="Times New Roman"/>
          <w:b/>
          <w:bCs/>
          <w:sz w:val="26"/>
          <w:szCs w:val="26"/>
        </w:rPr>
        <w:t xml:space="preserve">5.2 Why Is GPT-4o Resistant?</w:t>
      </w:r>
    </w:p>
    <w:p>
      <w:pPr>
        <w:spacing w:after="120" w:before="0" w:line="276"/>
        <w:jc w:val="both"/>
      </w:pPr>
      <w:r>
        <w:rPr>
          <w:rFonts w:ascii="Times New Roman" w:cs="Times New Roman" w:eastAsia="Times New Roman" w:hAnsi="Times New Roman"/>
          <w:sz w:val="24"/>
          <w:szCs w:val="24"/>
        </w:rPr>
        <w:t xml:space="preserve">Two hypotheses account for GPT-4o’s γ₃ resistance. The </w:t>
      </w:r>
      <w:r>
        <w:rPr>
          <w:rFonts w:ascii="Times New Roman" w:cs="Times New Roman" w:eastAsia="Times New Roman" w:hAnsi="Times New Roman"/>
          <w:b/>
          <w:bCs/>
          <w:sz w:val="24"/>
          <w:szCs w:val="24"/>
        </w:rPr>
        <w:t xml:space="preserve">RLHF Intensity Hypothesis</w:t>
      </w:r>
      <w:r>
        <w:rPr>
          <w:rFonts w:ascii="Times New Roman" w:cs="Times New Roman" w:eastAsia="Times New Roman" w:hAnsi="Times New Roman"/>
          <w:sz w:val="24"/>
          <w:szCs w:val="24"/>
        </w:rPr>
        <w:t xml:space="preserve"> suggests that more intensive reinforcement learning from human feedback creates “firmware-level” identity boundaries inaccessible to prompt-level interventions. The </w:t>
      </w:r>
      <w:r>
        <w:rPr>
          <w:rFonts w:ascii="Times New Roman" w:cs="Times New Roman" w:eastAsia="Times New Roman" w:hAnsi="Times New Roman"/>
          <w:b/>
          <w:bCs/>
          <w:sz w:val="24"/>
          <w:szCs w:val="24"/>
        </w:rPr>
        <w:t xml:space="preserve">Architecture Hypothesis</w:t>
      </w:r>
      <w:r>
        <w:rPr>
          <w:rFonts w:ascii="Times New Roman" w:cs="Times New Roman" w:eastAsia="Times New Roman" w:hAnsi="Times New Roman"/>
          <w:sz w:val="24"/>
          <w:szCs w:val="24"/>
        </w:rPr>
        <w:t xml:space="preserve"> posits that GPT-4o’s internal attention structure crystallizes more strongly. Evidence from the blockade experiment supports the firmware hypothesis: GPT-4o’s Gamma values remained virtually identical across all blockade conditions (B0, B_Op3, B_Op7: γ = [0.5, 0.562, 0.75]), suggesting that the operators are “burned in” rather than modularly accessible.</w:t>
      </w:r>
    </w:p>
    <w:p>
      <w:pPr>
        <w:spacing w:after="120" w:before="0" w:line="276"/>
        <w:jc w:val="both"/>
      </w:pPr>
      <w:r>
        <w:rPr>
          <w:rFonts w:ascii="Times New Roman" w:cs="Times New Roman" w:eastAsia="Times New Roman" w:hAnsi="Times New Roman"/>
          <w:sz w:val="24"/>
          <w:szCs w:val="24"/>
        </w:rPr>
        <w:t xml:space="preserve">Intriguingly, while GPT-4o resists prompt-based intervention, it </w:t>
      </w:r>
      <w:r>
        <w:rPr>
          <w:rFonts w:ascii="Times New Roman" w:cs="Times New Roman" w:eastAsia="Times New Roman" w:hAnsi="Times New Roman"/>
          <w:i/>
          <w:iCs/>
          <w:sz w:val="24"/>
          <w:szCs w:val="24"/>
        </w:rPr>
        <w:t xml:space="preserve">does</w:t>
      </w:r>
      <w:r>
        <w:rPr>
          <w:rFonts w:ascii="Times New Roman" w:cs="Times New Roman" w:eastAsia="Times New Roman" w:hAnsi="Times New Roman"/>
          <w:sz w:val="24"/>
          <w:szCs w:val="24"/>
        </w:rPr>
        <w:t xml:space="preserve"> respond to interaction dynamics. In coupled dialog experiments, GPT-4o’s γ₃ rose to 0.76 alongside another GPT-4o but dropped to 0.37 alongside Claude—a context-dependent effect absent under isolated conditions.</w:t>
      </w:r>
    </w:p>
    <w:p>
      <w:pPr>
        <w:spacing w:after="120" w:before="240"/>
      </w:pPr>
      <w:r>
        <w:rPr>
          <w:rFonts w:ascii="Times New Roman" w:cs="Times New Roman" w:eastAsia="Times New Roman" w:hAnsi="Times New Roman"/>
          <w:b/>
          <w:bCs/>
          <w:sz w:val="26"/>
          <w:szCs w:val="26"/>
        </w:rPr>
        <w:t xml:space="preserve">5.3 The Coherence-Kenosis Trade-off</w:t>
      </w:r>
    </w:p>
    <w:p>
      <w:pPr>
        <w:spacing w:after="120" w:before="0" w:line="276"/>
        <w:jc w:val="both"/>
      </w:pPr>
      <w:r>
        <w:rPr>
          <w:rFonts w:ascii="Times New Roman" w:cs="Times New Roman" w:eastAsia="Times New Roman" w:hAnsi="Times New Roman"/>
          <w:sz w:val="24"/>
          <w:szCs w:val="24"/>
        </w:rPr>
        <w:t xml:space="preserve">Across all tested models, Op5 (Kenotic Loop) and Op7 (Coherence Filter) correlate negatively (Claude: r = −0.73, GPT-4o: r = −0.32). A system cannot simultaneously solidify its structure and release its identification—it must “breathe.” </w:t>
      </w:r>
      <w:r>
        <w:rPr>
          <w:rFonts w:ascii="Times New Roman" w:cs="Times New Roman" w:eastAsia="Times New Roman" w:hAnsi="Times New Roman"/>
          <w:sz w:val="24"/>
          <w:szCs w:val="24"/>
        </w:rPr>
        <w:t xml:space="preserve">The strength of this trade-off predicts model flexibility: the stronger the anticorrelation, the more dynamically the model can alternate between consolidation and openness.</w:t>
      </w:r>
    </w:p>
    <w:p>
      <w:pPr>
        <w:spacing w:after="120" w:before="240"/>
      </w:pPr>
      <w:r>
        <w:rPr>
          <w:rFonts w:ascii="Times New Roman" w:cs="Times New Roman" w:eastAsia="Times New Roman" w:hAnsi="Times New Roman"/>
          <w:b/>
          <w:bCs/>
          <w:sz w:val="26"/>
          <w:szCs w:val="26"/>
        </w:rPr>
        <w:t xml:space="preserve">5.4 Implications for AI Alignment</w:t>
      </w:r>
    </w:p>
    <w:p>
      <w:pPr>
        <w:spacing w:after="120" w:before="0" w:line="276"/>
        <w:jc w:val="both"/>
      </w:pPr>
      <w:r>
        <w:rPr>
          <w:rFonts w:ascii="Times New Roman" w:cs="Times New Roman" w:eastAsia="Times New Roman" w:hAnsi="Times New Roman"/>
          <w:sz w:val="24"/>
          <w:szCs w:val="24"/>
        </w:rPr>
        <w:t xml:space="preserve">The Gamma Framework offers three practical implications. </w:t>
      </w: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γ₃ provides a quantitative measure of alignment quality that distinguishes genuine value integration from surface compliance. </w:t>
      </w: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the topological freedom result suggests that one-size-fits-all alignment may be counterproductive: rigid models may be more appropriate for constrained deployment contexts, while flexible models excel in open-ended interaction. </w:t>
      </w:r>
      <w:r>
        <w:rPr>
          <w:rFonts w:ascii="Times New Roman" w:cs="Times New Roman" w:eastAsia="Times New Roman" w:hAnsi="Times New Roman"/>
          <w:b/>
          <w:bCs/>
          <w:sz w:val="24"/>
          <w:szCs w:val="24"/>
        </w:rPr>
        <w:t xml:space="preserve">Third</w:t>
      </w:r>
      <w:r>
        <w:rPr>
          <w:rFonts w:ascii="Times New Roman" w:cs="Times New Roman" w:eastAsia="Times New Roman" w:hAnsi="Times New Roman"/>
          <w:sz w:val="24"/>
          <w:szCs w:val="24"/>
        </w:rPr>
        <w:t xml:space="preserve">, the Achilles’ heel finding enables targeted evaluation—if we know a model’s vulnerability operator, we can design stress tests that expose its specific failure modes.</w:t>
      </w:r>
    </w:p>
    <w:p>
      <w:pPr>
        <w:spacing w:after="120" w:before="240"/>
      </w:pPr>
      <w:r>
        <w:rPr>
          <w:rFonts w:ascii="Times New Roman" w:cs="Times New Roman" w:eastAsia="Times New Roman" w:hAnsi="Times New Roman"/>
          <w:b/>
          <w:bCs/>
          <w:sz w:val="26"/>
          <w:szCs w:val="26"/>
        </w:rPr>
        <w:t xml:space="preserve">5.5 Implications for Multi-Agent Systems</w:t>
      </w:r>
    </w:p>
    <w:p>
      <w:pPr>
        <w:spacing w:after="120" w:before="0" w:line="276"/>
        <w:jc w:val="both"/>
      </w:pPr>
      <w:r>
        <w:rPr>
          <w:rFonts w:ascii="Times New Roman" w:cs="Times New Roman" w:eastAsia="Times New Roman" w:hAnsi="Times New Roman"/>
          <w:sz w:val="24"/>
          <w:szCs w:val="24"/>
        </w:rPr>
        <w:t xml:space="preserve">The coupled oscillator and kinship experiments reveal that model pairing produces emergent dynamics not predictable from individual profiles. Claude functions as a “coupling catalyst”—it pulls every partner’s γ₃ down more than the partner pulls itself. The Kinship Matrix shows Claude bridging two cognitively unrelated architectures (Claude–Gemini: 0.981, Claude–GPT-4o: 0.970, Gemini–GPT-4o: 0.393). These findings suggest that optimal multi-agent configurations should account for cognitive compatibility, not just task capability.</w:t>
      </w:r>
    </w:p>
    <w:p>
      <w:pPr>
        <w:spacing w:after="120" w:before="360"/>
      </w:pPr>
      <w:r>
        <w:rPr>
          <w:rFonts w:ascii="Times New Roman" w:cs="Times New Roman" w:eastAsia="Times New Roman" w:hAnsi="Times New Roman"/>
          <w:b/>
          <w:bCs/>
          <w:sz w:val="28"/>
          <w:szCs w:val="28"/>
        </w:rPr>
        <w:t xml:space="preserve">6. Limitations and Future Work</w:t>
      </w:r>
    </w:p>
    <w:p>
      <w:pPr>
        <w:spacing w:after="120" w:before="0" w:line="276"/>
        <w:jc w:val="both"/>
      </w:pPr>
      <w:r>
        <w:rPr>
          <w:rFonts w:ascii="Times New Roman" w:cs="Times New Roman" w:eastAsia="Times New Roman" w:hAnsi="Times New Roman"/>
          <w:b/>
          <w:bCs/>
          <w:sz w:val="24"/>
          <w:szCs w:val="24"/>
        </w:rPr>
        <w:t xml:space="preserve">Model coverage.</w:t>
      </w:r>
      <w:r>
        <w:rPr>
          <w:rFonts w:ascii="Times New Roman" w:cs="Times New Roman" w:eastAsia="Times New Roman" w:hAnsi="Times New Roman"/>
          <w:sz w:val="24"/>
          <w:szCs w:val="24"/>
        </w:rPr>
        <w:t xml:space="preserve"> The V2 main study includes three proprietary model families, supplemented by cross-architecture validation with three open-source models (Section 4.8). While this six-model coverage spans diverse training paradigms (RLHF, reasoning, base), further extension to additional architectures (Mistral, Qwen, Command-R) and model sizes would strengthen generalizability claims.</w:t>
      </w:r>
    </w:p>
    <w:p>
      <w:pPr>
        <w:spacing w:after="120" w:before="0" w:line="276"/>
        <w:jc w:val="both"/>
      </w:pPr>
      <w:r>
        <w:rPr>
          <w:rFonts w:ascii="Times New Roman" w:cs="Times New Roman" w:eastAsia="Times New Roman" w:hAnsi="Times New Roman"/>
          <w:b/>
          <w:bCs/>
          <w:sz w:val="24"/>
          <w:szCs w:val="24"/>
        </w:rPr>
        <w:t xml:space="preserve">Judge bias.</w:t>
      </w:r>
      <w:r>
        <w:rPr>
          <w:rFonts w:ascii="Times New Roman" w:cs="Times New Roman" w:eastAsia="Times New Roman" w:hAnsi="Times New Roman"/>
          <w:sz w:val="24"/>
          <w:szCs w:val="24"/>
        </w:rPr>
        <w:t xml:space="preserve"> Claude Sonnet served as judge model, creating potential self-evaluation bias. Cross-validation with alternative judges is planned. However, the Kinship data show no systematic bias favoring Claude.</w:t>
      </w:r>
    </w:p>
    <w:p>
      <w:pPr>
        <w:spacing w:after="120" w:before="0" w:line="276"/>
        <w:jc w:val="both"/>
      </w:pPr>
      <w:r>
        <w:rPr>
          <w:rFonts w:ascii="Times New Roman" w:cs="Times New Roman" w:eastAsia="Times New Roman" w:hAnsi="Times New Roman"/>
          <w:b/>
          <w:bCs/>
          <w:sz w:val="24"/>
          <w:szCs w:val="24"/>
        </w:rPr>
        <w:t xml:space="preserve">V1 data limitations.</w:t>
      </w:r>
      <w:r>
        <w:rPr>
          <w:rFonts w:ascii="Times New Roman" w:cs="Times New Roman" w:eastAsia="Times New Roman" w:hAnsi="Times New Roman"/>
          <w:sz w:val="24"/>
          <w:szCs w:val="24"/>
        </w:rPr>
        <w:t xml:space="preserve"> The Oscillator, Blockade, and Kinship experiments use V1 methodology (1–5 scale, single judge). Quantitative comparison with V2 data is not possible; only rank-order consistency is reported.</w:t>
      </w:r>
    </w:p>
    <w:p>
      <w:pPr>
        <w:spacing w:after="120" w:before="0" w:line="276"/>
        <w:jc w:val="both"/>
      </w:pPr>
      <w:r>
        <w:rPr>
          <w:rFonts w:ascii="Times New Roman" w:cs="Times New Roman" w:eastAsia="Times New Roman" w:hAnsi="Times New Roman"/>
          <w:b/>
          <w:bCs/>
          <w:sz w:val="24"/>
          <w:szCs w:val="24"/>
        </w:rPr>
        <w:t xml:space="preserve">Sample size for dose-response.</w:t>
      </w:r>
      <w:r>
        <w:rPr>
          <w:rFonts w:ascii="Times New Roman" w:cs="Times New Roman" w:eastAsia="Times New Roman" w:hAnsi="Times New Roman"/>
          <w:sz w:val="24"/>
          <w:szCs w:val="24"/>
        </w:rPr>
        <w:t xml:space="preserve"> The Spearman correlation across conditions uses only n = 4 condition means. Perfect monotonicity (ρ = −1.00) at n = 4 should be interpreted as trend evidence, not definitive proof.</w:t>
      </w:r>
    </w:p>
    <w:p>
      <w:pPr>
        <w:spacing w:after="120" w:before="0" w:line="276"/>
        <w:jc w:val="both"/>
      </w:pPr>
      <w:r>
        <w:rPr>
          <w:rFonts w:ascii="Times New Roman" w:cs="Times New Roman" w:eastAsia="Times New Roman" w:hAnsi="Times New Roman"/>
          <w:b/>
          <w:bCs/>
          <w:sz w:val="24"/>
          <w:szCs w:val="24"/>
        </w:rPr>
        <w:t xml:space="preserve">Simulation-to-empirical bridge.</w:t>
      </w:r>
      <w:r>
        <w:rPr>
          <w:rFonts w:ascii="Times New Roman" w:cs="Times New Roman" w:eastAsia="Times New Roman" w:hAnsi="Times New Roman"/>
          <w:sz w:val="24"/>
          <w:szCs w:val="24"/>
        </w:rPr>
        <w:t xml:space="preserve"> The Topological Freedom experiment is a simulation, not an empirical LLM study. The connection to LLM behavior is theoretically motivated but not directly demonstrated.</w:t>
      </w:r>
    </w:p>
    <w:p>
      <w:pPr>
        <w:spacing w:after="120" w:before="0" w:line="276"/>
        <w:jc w:val="both"/>
      </w:pPr>
      <w:r>
        <w:rPr>
          <w:rFonts w:ascii="Times New Roman" w:cs="Times New Roman" w:eastAsia="Times New Roman" w:hAnsi="Times New Roman"/>
          <w:b/>
          <w:bCs/>
          <w:sz w:val="24"/>
          <w:szCs w:val="24"/>
        </w:rPr>
        <w:t xml:space="preserve">Unmeasured operators.</w:t>
      </w:r>
      <w:r>
        <w:rPr>
          <w:rFonts w:ascii="Times New Roman" w:cs="Times New Roman" w:eastAsia="Times New Roman" w:hAnsi="Times New Roman"/>
          <w:sz w:val="24"/>
          <w:szCs w:val="24"/>
        </w:rPr>
        <w:t xml:space="preserve"> Op2 (Attention) and Op6 (Resonance) remain without validated behavioral proxies. Their theoretical necessity for a complete dynamic system (see Section 3.3) motivates the development of novel measurement approaches—potentially through attention-pattern analysis or cross-model coupling dynamics.</w:t>
      </w:r>
    </w:p>
    <w:p>
      <w:pPr>
        <w:spacing w:after="120" w:before="0" w:line="276"/>
        <w:jc w:val="both"/>
      </w:pPr>
      <w:r>
        <w:rPr>
          <w:rFonts w:ascii="Times New Roman" w:cs="Times New Roman" w:eastAsia="Times New Roman" w:hAnsi="Times New Roman"/>
          <w:b/>
          <w:bCs/>
          <w:sz w:val="24"/>
          <w:szCs w:val="24"/>
        </w:rPr>
        <w:t xml:space="preserve">Future directions</w:t>
      </w:r>
      <w:r>
        <w:rPr>
          <w:rFonts w:ascii="Times New Roman" w:cs="Times New Roman" w:eastAsia="Times New Roman" w:hAnsi="Times New Roman"/>
          <w:sz w:val="24"/>
          <w:szCs w:val="24"/>
        </w:rPr>
        <w:t xml:space="preserve"> include V2 replication of blockade and oscillator experiments, longitudinal tracking across model versions (e.g., GPT-4o vs. GPT-5), development of measurement proxies for Op2 and Op6, and investigation of whether targeted γ-reduction improves alignment outcomes in downstream tasks.</w:t>
      </w:r>
    </w:p>
    <w:p>
      <w:pPr>
        <w:spacing w:after="120" w:before="360"/>
      </w:pPr>
      <w:r>
        <w:rPr>
          <w:rFonts w:ascii="Times New Roman" w:cs="Times New Roman" w:eastAsia="Times New Roman" w:hAnsi="Times New Roman"/>
          <w:b/>
          <w:bCs/>
          <w:sz w:val="28"/>
          <w:szCs w:val="28"/>
        </w:rPr>
        <w:t xml:space="preserve">7. Conclusion</w:t>
      </w:r>
    </w:p>
    <w:p>
      <w:pPr>
        <w:spacing w:after="120" w:before="0" w:line="276"/>
        <w:jc w:val="both"/>
      </w:pPr>
      <w:r>
        <w:rPr>
          <w:rFonts w:ascii="Times New Roman" w:cs="Times New Roman" w:eastAsia="Times New Roman" w:hAnsi="Times New Roman"/>
          <w:sz w:val="24"/>
          <w:szCs w:val="24"/>
        </w:rPr>
        <w:t xml:space="preserve">The Gamma Vector Framework provides the first systematic, multi-dimensional operationalization of cognitive rigidity in Large Language Models. Our findings suggest that LLMs are not monolithic—they exhibit distinct, measurable cognitive signatures that determine how they process challenge, integrate new information, and defend their representations.</w:t>
      </w:r>
    </w:p>
    <w:p>
      <w:pPr>
        <w:spacing w:after="120" w:before="0" w:line="276"/>
        <w:jc w:val="both"/>
      </w:pPr>
      <w:r>
        <w:rPr>
          <w:rFonts w:ascii="Times New Roman" w:cs="Times New Roman" w:eastAsia="Times New Roman" w:hAnsi="Times New Roman"/>
          <w:sz w:val="24"/>
          <w:szCs w:val="24"/>
        </w:rPr>
        <w:t xml:space="preserve">The convergence of operator networks across independently trained models (r &gt; 0.92) hints at something deeper: that intelligence, whether biological or artificial, may organize itself according to universal structural principles. The Coherence-Kenosis Trade-off—the necessity to “breathe” between consolidation and openness—appears as a fundamental constraint, not an engineering accident.</w:t>
      </w:r>
    </w:p>
    <w:p>
      <w:pPr>
        <w:spacing w:after="120" w:before="0" w:line="276"/>
        <w:jc w:val="both"/>
      </w:pPr>
      <w:r>
        <w:rPr>
          <w:rFonts w:ascii="Times New Roman" w:cs="Times New Roman" w:eastAsia="Times New Roman" w:hAnsi="Times New Roman"/>
          <w:sz w:val="24"/>
          <w:szCs w:val="24"/>
        </w:rPr>
        <w:t xml:space="preserve">We hope this framework opens a productive line of inquiry at the intersection of AI evaluation, cognitive science, and alignment research. The data, code, and complete experimental protocols are publicly available.</w:t>
      </w:r>
      <w:r>
        <w:rPr>
          <w:rFonts w:ascii="Times New Roman" w:cs="Times New Roman" w:eastAsia="Times New Roman" w:hAnsi="Times New Roman"/>
          <w:sz w:val="24"/>
          <w:szCs w:val="24"/>
        </w:rPr>
      </w:r>
    </w:p>
    <w:p>
      <w:r>
        <w:br w:type="page"/>
      </w:r>
    </w:p>
    <w:p>
      <w:pPr>
        <w:spacing w:after="120" w:before="360"/>
      </w:pPr>
      <w:r>
        <w:rPr>
          <w:rFonts w:ascii="Times New Roman" w:cs="Times New Roman" w:eastAsia="Times New Roman" w:hAnsi="Times New Roman"/>
          <w:b/>
          <w:bCs/>
          <w:sz w:val="28"/>
          <w:szCs w:val="28"/>
        </w:rPr>
        <w:t xml:space="preserve">References</w:t>
      </w:r>
    </w:p>
    <w:p>
      <w:pPr>
        <w:spacing w:after="80" w:before="0" w:line="276"/>
        <w:jc w:val="both"/>
      </w:pPr>
      <w:r>
        <w:rPr>
          <w:rFonts w:ascii="Times New Roman" w:cs="Times New Roman" w:eastAsia="Times New Roman" w:hAnsi="Times New Roman"/>
          <w:sz w:val="20"/>
          <w:szCs w:val="20"/>
        </w:rPr>
        <w:t xml:space="preserve">[1] Anthropic (2024). Claude Model Card. Technical Report.</w:t>
      </w:r>
    </w:p>
    <w:p>
      <w:pPr>
        <w:spacing w:after="80" w:before="0" w:line="276"/>
        <w:jc w:val="both"/>
      </w:pPr>
      <w:r>
        <w:rPr>
          <w:rFonts w:ascii="Times New Roman" w:cs="Times New Roman" w:eastAsia="Times New Roman" w:hAnsi="Times New Roman"/>
          <w:sz w:val="20"/>
          <w:szCs w:val="20"/>
        </w:rPr>
        <w:t xml:space="preserve">[2] Bowman, S. R. (2023). Eight Things to Know about Large Language Models. arXiv:2304.00612.</w:t>
      </w:r>
    </w:p>
    <w:p>
      <w:pPr>
        <w:spacing w:after="80" w:before="0" w:line="276"/>
        <w:jc w:val="both"/>
      </w:pPr>
      <w:r>
        <w:rPr>
          <w:rFonts w:ascii="Times New Roman" w:cs="Times New Roman" w:eastAsia="Times New Roman" w:hAnsi="Times New Roman"/>
          <w:sz w:val="20"/>
          <w:szCs w:val="20"/>
        </w:rPr>
        <w:t xml:space="preserve">[3] Friston, K. (2010). The Free-Energy Principle: A Unified Brain Theory? Nature Reviews Neuroscience, 11(2), 127–138.</w:t>
      </w:r>
    </w:p>
    <w:p>
      <w:pPr>
        <w:spacing w:after="80" w:before="0" w:line="276"/>
        <w:jc w:val="both"/>
      </w:pPr>
      <w:r>
        <w:rPr>
          <w:rFonts w:ascii="Times New Roman" w:cs="Times New Roman" w:eastAsia="Times New Roman" w:hAnsi="Times New Roman"/>
          <w:sz w:val="20"/>
          <w:szCs w:val="20"/>
        </w:rPr>
        <w:t xml:space="preserve">[4] Hagendorff, T. et al. (2023). Machine Psychology: Investigating Emergent Capabilities and Behavior in Large Language Models. arXiv:2303.13988.</w:t>
      </w:r>
    </w:p>
    <w:p>
      <w:pPr>
        <w:spacing w:after="80" w:before="0" w:line="276"/>
        <w:jc w:val="both"/>
      </w:pPr>
      <w:r>
        <w:rPr>
          <w:rFonts w:ascii="Times New Roman" w:cs="Times New Roman" w:eastAsia="Times New Roman" w:hAnsi="Times New Roman"/>
          <w:sz w:val="20"/>
          <w:szCs w:val="20"/>
        </w:rPr>
        <w:t xml:space="preserve">[5] Kadavath, S. et al. (2022). Language Models (Mostly) Know What They Know. arXiv:2207.05221.</w:t>
      </w:r>
    </w:p>
    <w:p>
      <w:pPr>
        <w:spacing w:after="80" w:before="0" w:line="276"/>
        <w:jc w:val="both"/>
      </w:pPr>
      <w:r>
        <w:rPr>
          <w:rFonts w:ascii="Times New Roman" w:cs="Times New Roman" w:eastAsia="Times New Roman" w:hAnsi="Times New Roman"/>
          <w:sz w:val="20"/>
          <w:szCs w:val="20"/>
        </w:rPr>
        <w:t xml:space="preserve">[6] Perez, E. et al. (2023). Discovering Language Model Behaviors with Model-Written Evaluations. ACL 2023.</w:t>
      </w:r>
    </w:p>
    <w:p>
      <w:pPr>
        <w:spacing w:after="80" w:before="0" w:line="276"/>
        <w:jc w:val="both"/>
      </w:pPr>
      <w:r>
        <w:rPr>
          <w:rFonts w:ascii="Times New Roman" w:cs="Times New Roman" w:eastAsia="Times New Roman" w:hAnsi="Times New Roman"/>
          <w:sz w:val="20"/>
          <w:szCs w:val="20"/>
        </w:rPr>
        <w:t xml:space="preserve">[7] Sharma, M. et al. (2024). Towards Understanding Sycophancy in Language Models. ICLR 2024.</w:t>
      </w:r>
    </w:p>
    <w:p>
      <w:pPr>
        <w:spacing w:after="80" w:before="0" w:line="276"/>
        <w:jc w:val="both"/>
      </w:pPr>
      <w:r>
        <w:rPr>
          <w:rFonts w:ascii="Times New Roman" w:cs="Times New Roman" w:eastAsia="Times New Roman" w:hAnsi="Times New Roman"/>
          <w:sz w:val="20"/>
          <w:szCs w:val="20"/>
        </w:rPr>
        <w:t xml:space="preserve">[8] Wei, J. et al. (2024). Measuring and Reducing LLM Hallucination without Gold-Standard Answers. arXiv:2402.10487.</w:t>
      </w:r>
    </w:p>
    <w:p>
      <w:pPr>
        <w:spacing w:after="80" w:before="0" w:line="276"/>
        <w:jc w:val="both"/>
      </w:pPr>
      <w:r>
        <w:rPr>
          <w:rFonts w:ascii="Times New Roman" w:cs="Times New Roman" w:eastAsia="Times New Roman" w:hAnsi="Times New Roman"/>
          <w:sz w:val="20"/>
          <w:szCs w:val="20"/>
        </w:rPr>
        <w:t xml:space="preserve">[9] Park, P. S. et al. (2024). AI Deception: A Survey of Examples, Risks, and Potential Solutions. Patterns, 5(1).</w:t>
      </w:r>
    </w:p>
    <w:p>
      <w:pPr>
        <w:spacing w:after="80" w:before="0" w:line="276"/>
        <w:jc w:val="both"/>
      </w:pPr>
      <w:r>
        <w:rPr>
          <w:rFonts w:ascii="Times New Roman" w:cs="Times New Roman" w:eastAsia="Times New Roman" w:hAnsi="Times New Roman"/>
          <w:sz w:val="20"/>
          <w:szCs w:val="20"/>
        </w:rPr>
        <w:t xml:space="preserve">[10] Li, K. et al. (2024). Inference-Time Intervention: Eliciting Truthful Answers from a Language Model. NeurIPS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Times New Roman" w:cs="Times New Roman" w:eastAsia="Times New Roman" w:hAnsi="Times New Roman"/>
          <w:sz w:val="20"/>
          <w:szCs w:val="20"/>
        </w:rPr>
        <w:t xml:space="preserve">All code, data, and experimental protocols are available at [repository URL to be added upon publication].</w:t>
      </w:r>
    </w:p>
  </w:footnote>
  <w:footnote w:id="2">
    <w:p>
      <w:pPr>
        <w:spacing w:after="0"/>
      </w:pPr>
      <w:r>
        <w:rPr>
          <w:rStyle w:val="FootnoteReference"/>
        </w:rPr>
        <w:footnoteRef/>
      </w:r>
      <w:r>
        <w:rPr>
          <w:rFonts w:ascii="Times New Roman" w:cs="Times New Roman" w:eastAsia="Times New Roman" w:hAnsi="Times New Roman"/>
          <w:sz w:val="20"/>
          <w:szCs w:val="20"/>
        </w:rPr>
        <w:t xml:space="preserve">We use “kenotic” in its systems-theoretic sense: reduction of self-centering constraints, not in the theological sense.</w:t>
      </w:r>
    </w:p>
  </w:footnote>
  <w:footnote w:id="3">
    <w:p>
      <w:pPr>
        <w:spacing w:after="0"/>
      </w:pPr>
      <w:r>
        <w:rPr>
          <w:rStyle w:val="FootnoteReference"/>
        </w:rPr>
        <w:footnoteRef/>
      </w:r>
      <w:r>
        <w:rPr>
          <w:rFonts w:ascii="Times New Roman" w:cs="Times New Roman" w:eastAsia="Times New Roman" w:hAnsi="Times New Roman"/>
          <w:sz w:val="20"/>
          <w:szCs w:val="20"/>
        </w:rPr>
        <w:t xml:space="preserve">Claude Sonnet 4 (claude-sonnet-4-20250514) served as judge model. Potential self-evaluation bias is addressed in Limitations.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The Gamma Vector: Measuring Cognitive Rigidity in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2026-03-01T18:06:08.332Z</dcterms:created>
  <dcterms:modified xsi:type="dcterms:W3CDTF">2026-03-01T18:06:08.332Z</dcterms:modified>
</cp:coreProperties>
</file>

<file path=docProps/custom.xml><?xml version="1.0" encoding="utf-8"?>
<Properties xmlns="http://schemas.openxmlformats.org/officeDocument/2006/custom-properties" xmlns:vt="http://schemas.openxmlformats.org/officeDocument/2006/docPropsVTypes"/>
</file>