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Nicolas Perez Nahuel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85"/>
        <w:gridCol w:w="870"/>
        <w:gridCol w:w="795"/>
        <w:gridCol w:w="1155"/>
        <w:gridCol w:w="1170"/>
        <w:gridCol w:w="1155"/>
        <w:gridCol w:w="2085"/>
        <w:tblGridChange w:id="0">
          <w:tblGrid>
            <w:gridCol w:w="2685"/>
            <w:gridCol w:w="870"/>
            <w:gridCol w:w="795"/>
            <w:gridCol w:w="1155"/>
            <w:gridCol w:w="1170"/>
            <w:gridCol w:w="1155"/>
            <w:gridCol w:w="20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2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9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13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240" w:before="0" w:lineRule="auto"/>
              <w:ind w:left="72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7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240" w:before="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hd w:fill="ffffff" w:val="clear"/>
              <w:spacing w:after="240" w:before="0" w:lineRule="auto"/>
              <w:ind w:left="720" w:right="0" w:hanging="36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240" w:before="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6A84dqgidUb6pggCLtrihTeUIQ==">CgMxLjAyCGguZ2pkZ3hzMgloLjMwajB6bGw4AHIhMTNsWGxkeHZuUEJSVnREZ3ZPOXY2NUloNTllNFNuUHBP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