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632" w:type="dxa"/>
        <w:tblLook w:val="04A0" w:firstRow="1" w:lastRow="0" w:firstColumn="1" w:lastColumn="0" w:noHBand="0" w:noVBand="1"/>
      </w:tblPr>
      <w:tblGrid>
        <w:gridCol w:w="3151"/>
        <w:gridCol w:w="2394"/>
        <w:gridCol w:w="2272"/>
        <w:gridCol w:w="2369"/>
        <w:gridCol w:w="4446"/>
      </w:tblGrid>
      <w:tr w:rsidR="001B147E" w:rsidRPr="001B147E" w:rsidTr="001B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394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2272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369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  <w:tc>
          <w:tcPr>
            <w:tcW w:w="4446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 w:val="restart"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Botón rosado</w:t>
            </w: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poco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opcional</w:t>
            </w:r>
          </w:p>
        </w:tc>
        <w:tc>
          <w:tcPr>
            <w:tcW w:w="2369" w:type="dxa"/>
            <w:vMerge w:val="restart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1B147E">
              <w:rPr>
                <w:rFonts w:ascii="Frutiger 45 Light" w:hAnsi="Frutiger 45 Light"/>
                <w:b/>
              </w:rPr>
              <w:t>azufre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trifloxystrobin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bupirimato</w:t>
            </w:r>
            <w:proofErr w:type="spellEnd"/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trifloxystrobin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triforine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fenarimol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hexaconazole</w:t>
            </w:r>
            <w:proofErr w:type="spellEnd"/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penconazole</w:t>
            </w:r>
            <w:proofErr w:type="spellEnd"/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kresoxim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1B147E">
              <w:rPr>
                <w:rFonts w:ascii="Frutiger 45 Light" w:hAnsi="Frutiger 45 Light"/>
                <w:b/>
              </w:rPr>
              <w:t>metil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4446" w:type="dxa"/>
            <w:vMerge w:val="restart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 xml:space="preserve">Buena iluminación y aireación de la </w:t>
            </w:r>
            <w:proofErr w:type="spellStart"/>
            <w:r w:rsidRPr="001B147E">
              <w:rPr>
                <w:rFonts w:ascii="Frutiger 45 Light" w:hAnsi="Frutiger 45 Light"/>
              </w:rPr>
              <w:t>canopia</w:t>
            </w:r>
            <w:proofErr w:type="spellEnd"/>
            <w:r w:rsidRPr="001B147E">
              <w:rPr>
                <w:rFonts w:ascii="Frutiger 45 Light" w:hAnsi="Frutiger 45 Light"/>
              </w:rPr>
              <w:t>.</w:t>
            </w:r>
            <w:r w:rsidRPr="001B147E">
              <w:rPr>
                <w:rFonts w:ascii="Frutiger 45 Light" w:hAnsi="Frutiger 45 Light"/>
              </w:rPr>
              <w:br/>
              <w:t>Usar variedades resistentes.</w:t>
            </w:r>
            <w:r w:rsidRPr="001B147E">
              <w:rPr>
                <w:rFonts w:ascii="Frutiger 45 Light" w:hAnsi="Frutiger 45 Light"/>
              </w:rPr>
              <w:br/>
              <w:t>En condiciones predisponentes hacer tratamientos preventivos para evitar infección, la condiciones predisponentes son las susceptibilidad de las variedades a la enfermedad</w:t>
            </w:r>
            <w:bookmarkStart w:id="0" w:name="_GoBack"/>
            <w:bookmarkEnd w:id="0"/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muy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 w:val="restart"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3/4 caída de petalos</w:t>
            </w: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poco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no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optativo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muy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 w:val="restart"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10-15 después de caída de petalos</w:t>
            </w: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poco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no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 xml:space="preserve">no 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muy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1B147E" w:rsidRDefault="005076E0" w:rsidP="001B147E">
      <w:pPr>
        <w:rPr>
          <w:rFonts w:ascii="Frutiger 45 Light" w:hAnsi="Frutiger 45 Light"/>
        </w:rPr>
      </w:pPr>
    </w:p>
    <w:sectPr w:rsidR="005076E0" w:rsidRPr="001B147E" w:rsidSect="001B147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E"/>
    <w:rsid w:val="001B147E"/>
    <w:rsid w:val="00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062AD-3A12-4720-BA26-B7F77EC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1B1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2015-05-23T17:11:00Z</dcterms:created>
  <dcterms:modified xsi:type="dcterms:W3CDTF">2015-05-23T17:14:00Z</dcterms:modified>
</cp:coreProperties>
</file>