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1625B" w14:textId="77777777" w:rsidR="00682206" w:rsidRPr="00682206" w:rsidRDefault="00682206" w:rsidP="00682206">
      <w:pPr>
        <w:jc w:val="both"/>
        <w:rPr>
          <w:b/>
        </w:rPr>
      </w:pPr>
      <w:r w:rsidRPr="00682206">
        <w:rPr>
          <w:b/>
        </w:rPr>
        <w:t>Mini project 1</w:t>
      </w:r>
    </w:p>
    <w:p w14:paraId="63873CCF" w14:textId="77777777" w:rsidR="00682206" w:rsidRDefault="00682206" w:rsidP="0075048D">
      <w:pPr>
        <w:jc w:val="center"/>
      </w:pPr>
      <w:bookmarkStart w:id="0" w:name="_GoBack"/>
      <w:bookmarkEnd w:id="0"/>
    </w:p>
    <w:p w14:paraId="5634C5DD" w14:textId="77777777" w:rsidR="00752D80" w:rsidRDefault="0075048D" w:rsidP="0075048D">
      <w:pPr>
        <w:jc w:val="center"/>
      </w:pPr>
      <w:r>
        <w:rPr>
          <w:noProof/>
        </w:rPr>
        <w:drawing>
          <wp:inline distT="0" distB="0" distL="0" distR="0" wp14:anchorId="638CF582" wp14:editId="31B3674D">
            <wp:extent cx="3937635" cy="2402840"/>
            <wp:effectExtent l="0" t="0" r="24765" b="10160"/>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ED5C1A95-4A3B-1116-598F-E66C3C7B1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978202" w14:textId="77777777" w:rsidR="0075048D" w:rsidRDefault="0075048D" w:rsidP="0075048D">
      <w:pPr>
        <w:jc w:val="center"/>
      </w:pPr>
    </w:p>
    <w:p w14:paraId="6C634E95" w14:textId="77777777" w:rsidR="0075048D" w:rsidRDefault="0075048D" w:rsidP="0075048D">
      <w:pPr>
        <w:jc w:val="center"/>
      </w:pPr>
    </w:p>
    <w:p w14:paraId="38CA8B63" w14:textId="77777777" w:rsidR="0075048D" w:rsidRDefault="0075048D" w:rsidP="0075048D">
      <w:pPr>
        <w:jc w:val="both"/>
      </w:pPr>
      <w:r>
        <w:t>The figure depicts the GDP per capita for Spain between 1850 and 1900. The data source is M</w:t>
      </w:r>
      <w:r w:rsidR="00807552">
        <w:t>adison 2022 which synthesizes data from research on historical national accounts. The data is measures in constant prices. Some notable features of the figure are the long period of stagnation. We see some fluctuations in the 19</w:t>
      </w:r>
      <w:r w:rsidR="00807552" w:rsidRPr="00807552">
        <w:rPr>
          <w:vertAlign w:val="superscript"/>
        </w:rPr>
        <w:t>th</w:t>
      </w:r>
      <w:r w:rsidR="00807552">
        <w:t xml:space="preserve"> century which is likely to reflect periods of political instability. We observe little economic growth in the aggregate between 1850 and 1950. We also see a substantial decline in the growth rate in the 1930s which likely reflects the Spanish civil war. After 1950 we see rapid economic which happens until the late early 2000s. We also observe a period of decline after the great recession in 2008. </w:t>
      </w:r>
    </w:p>
    <w:p w14:paraId="4D52261D" w14:textId="77777777" w:rsidR="0075048D" w:rsidRDefault="0075048D" w:rsidP="0075048D">
      <w:pPr>
        <w:jc w:val="both"/>
      </w:pPr>
    </w:p>
    <w:sectPr w:rsidR="0075048D" w:rsidSect="00614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48D"/>
    <w:rsid w:val="00095B6F"/>
    <w:rsid w:val="00614140"/>
    <w:rsid w:val="00682206"/>
    <w:rsid w:val="0075048D"/>
    <w:rsid w:val="00752D80"/>
    <w:rsid w:val="00807552"/>
    <w:rsid w:val="00826FAE"/>
    <w:rsid w:val="00CC60D2"/>
    <w:rsid w:val="00D577A7"/>
    <w:rsid w:val="00F4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9186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ebastianellingsen/Dropbox/economic_data/labs/lab_1/test_project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 per capita, Spain 1850-2018</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Sheet1!$B$1</c:f>
              <c:strCache>
                <c:ptCount val="1"/>
                <c:pt idx="0">
                  <c:v>gdppc</c:v>
                </c:pt>
              </c:strCache>
            </c:strRef>
          </c:tx>
          <c:spPr>
            <a:ln w="28575" cap="rnd">
              <a:solidFill>
                <a:srgbClr val="000000"/>
              </a:solidFill>
              <a:prstDash val="solid"/>
              <a:round/>
            </a:ln>
            <a:effectLst/>
          </c:spPr>
          <c:marker>
            <c:symbol val="none"/>
          </c:marker>
          <c:cat>
            <c:numRef>
              <c:f>Sheet1!$A$2:$A$170</c:f>
              <c:numCache>
                <c:formatCode>General</c:formatCode>
                <c:ptCount val="169"/>
                <c:pt idx="0">
                  <c:v>1850.0</c:v>
                </c:pt>
                <c:pt idx="1">
                  <c:v>1851.0</c:v>
                </c:pt>
                <c:pt idx="2">
                  <c:v>1852.0</c:v>
                </c:pt>
                <c:pt idx="3">
                  <c:v>1853.0</c:v>
                </c:pt>
                <c:pt idx="4">
                  <c:v>1854.0</c:v>
                </c:pt>
                <c:pt idx="5">
                  <c:v>1855.0</c:v>
                </c:pt>
                <c:pt idx="6">
                  <c:v>1856.0</c:v>
                </c:pt>
                <c:pt idx="7">
                  <c:v>1857.0</c:v>
                </c:pt>
                <c:pt idx="8">
                  <c:v>1858.0</c:v>
                </c:pt>
                <c:pt idx="9">
                  <c:v>1859.0</c:v>
                </c:pt>
                <c:pt idx="10">
                  <c:v>1860.0</c:v>
                </c:pt>
                <c:pt idx="11">
                  <c:v>1861.0</c:v>
                </c:pt>
                <c:pt idx="12">
                  <c:v>1862.0</c:v>
                </c:pt>
                <c:pt idx="13">
                  <c:v>1863.0</c:v>
                </c:pt>
                <c:pt idx="14">
                  <c:v>1864.0</c:v>
                </c:pt>
                <c:pt idx="15">
                  <c:v>1865.0</c:v>
                </c:pt>
                <c:pt idx="16">
                  <c:v>1866.0</c:v>
                </c:pt>
                <c:pt idx="17">
                  <c:v>1867.0</c:v>
                </c:pt>
                <c:pt idx="18">
                  <c:v>1868.0</c:v>
                </c:pt>
                <c:pt idx="19">
                  <c:v>1869.0</c:v>
                </c:pt>
                <c:pt idx="20">
                  <c:v>1870.0</c:v>
                </c:pt>
                <c:pt idx="21">
                  <c:v>1871.0</c:v>
                </c:pt>
                <c:pt idx="22">
                  <c:v>1872.0</c:v>
                </c:pt>
                <c:pt idx="23">
                  <c:v>1873.0</c:v>
                </c:pt>
                <c:pt idx="24">
                  <c:v>1874.0</c:v>
                </c:pt>
                <c:pt idx="25">
                  <c:v>1875.0</c:v>
                </c:pt>
                <c:pt idx="26">
                  <c:v>1876.0</c:v>
                </c:pt>
                <c:pt idx="27">
                  <c:v>1877.0</c:v>
                </c:pt>
                <c:pt idx="28">
                  <c:v>1878.0</c:v>
                </c:pt>
                <c:pt idx="29">
                  <c:v>1879.0</c:v>
                </c:pt>
                <c:pt idx="30">
                  <c:v>1880.0</c:v>
                </c:pt>
                <c:pt idx="31">
                  <c:v>1881.0</c:v>
                </c:pt>
                <c:pt idx="32">
                  <c:v>1882.0</c:v>
                </c:pt>
                <c:pt idx="33">
                  <c:v>1883.0</c:v>
                </c:pt>
                <c:pt idx="34">
                  <c:v>1884.0</c:v>
                </c:pt>
                <c:pt idx="35">
                  <c:v>1885.0</c:v>
                </c:pt>
                <c:pt idx="36">
                  <c:v>1886.0</c:v>
                </c:pt>
                <c:pt idx="37">
                  <c:v>1887.0</c:v>
                </c:pt>
                <c:pt idx="38">
                  <c:v>1888.0</c:v>
                </c:pt>
                <c:pt idx="39">
                  <c:v>1889.0</c:v>
                </c:pt>
                <c:pt idx="40">
                  <c:v>1890.0</c:v>
                </c:pt>
                <c:pt idx="41">
                  <c:v>1891.0</c:v>
                </c:pt>
                <c:pt idx="42">
                  <c:v>1892.0</c:v>
                </c:pt>
                <c:pt idx="43">
                  <c:v>1893.0</c:v>
                </c:pt>
                <c:pt idx="44">
                  <c:v>1894.0</c:v>
                </c:pt>
                <c:pt idx="45">
                  <c:v>1895.0</c:v>
                </c:pt>
                <c:pt idx="46">
                  <c:v>1896.0</c:v>
                </c:pt>
                <c:pt idx="47">
                  <c:v>1897.0</c:v>
                </c:pt>
                <c:pt idx="48">
                  <c:v>1898.0</c:v>
                </c:pt>
                <c:pt idx="49">
                  <c:v>1899.0</c:v>
                </c:pt>
                <c:pt idx="50">
                  <c:v>1900.0</c:v>
                </c:pt>
                <c:pt idx="51">
                  <c:v>1901.0</c:v>
                </c:pt>
                <c:pt idx="52">
                  <c:v>1902.0</c:v>
                </c:pt>
                <c:pt idx="53">
                  <c:v>1903.0</c:v>
                </c:pt>
                <c:pt idx="54">
                  <c:v>1904.0</c:v>
                </c:pt>
                <c:pt idx="55">
                  <c:v>1905.0</c:v>
                </c:pt>
                <c:pt idx="56">
                  <c:v>1906.0</c:v>
                </c:pt>
                <c:pt idx="57">
                  <c:v>1907.0</c:v>
                </c:pt>
                <c:pt idx="58">
                  <c:v>1908.0</c:v>
                </c:pt>
                <c:pt idx="59">
                  <c:v>1909.0</c:v>
                </c:pt>
                <c:pt idx="60">
                  <c:v>1910.0</c:v>
                </c:pt>
                <c:pt idx="61">
                  <c:v>1911.0</c:v>
                </c:pt>
                <c:pt idx="62">
                  <c:v>1912.0</c:v>
                </c:pt>
                <c:pt idx="63">
                  <c:v>1913.0</c:v>
                </c:pt>
                <c:pt idx="64">
                  <c:v>1914.0</c:v>
                </c:pt>
                <c:pt idx="65">
                  <c:v>1915.0</c:v>
                </c:pt>
                <c:pt idx="66">
                  <c:v>1916.0</c:v>
                </c:pt>
                <c:pt idx="67">
                  <c:v>1917.0</c:v>
                </c:pt>
                <c:pt idx="68">
                  <c:v>1918.0</c:v>
                </c:pt>
                <c:pt idx="69">
                  <c:v>1919.0</c:v>
                </c:pt>
                <c:pt idx="70">
                  <c:v>1920.0</c:v>
                </c:pt>
                <c:pt idx="71">
                  <c:v>1921.0</c:v>
                </c:pt>
                <c:pt idx="72">
                  <c:v>1922.0</c:v>
                </c:pt>
                <c:pt idx="73">
                  <c:v>1923.0</c:v>
                </c:pt>
                <c:pt idx="74">
                  <c:v>1924.0</c:v>
                </c:pt>
                <c:pt idx="75">
                  <c:v>1925.0</c:v>
                </c:pt>
                <c:pt idx="76">
                  <c:v>1926.0</c:v>
                </c:pt>
                <c:pt idx="77">
                  <c:v>1927.0</c:v>
                </c:pt>
                <c:pt idx="78">
                  <c:v>1928.0</c:v>
                </c:pt>
                <c:pt idx="79">
                  <c:v>1929.0</c:v>
                </c:pt>
                <c:pt idx="80">
                  <c:v>1930.0</c:v>
                </c:pt>
                <c:pt idx="81">
                  <c:v>1931.0</c:v>
                </c:pt>
                <c:pt idx="82">
                  <c:v>1932.0</c:v>
                </c:pt>
                <c:pt idx="83">
                  <c:v>1933.0</c:v>
                </c:pt>
                <c:pt idx="84">
                  <c:v>1934.0</c:v>
                </c:pt>
                <c:pt idx="85">
                  <c:v>1935.0</c:v>
                </c:pt>
                <c:pt idx="86">
                  <c:v>1936.0</c:v>
                </c:pt>
                <c:pt idx="87">
                  <c:v>1937.0</c:v>
                </c:pt>
                <c:pt idx="88">
                  <c:v>1938.0</c:v>
                </c:pt>
                <c:pt idx="89">
                  <c:v>1939.0</c:v>
                </c:pt>
                <c:pt idx="90">
                  <c:v>1940.0</c:v>
                </c:pt>
                <c:pt idx="91">
                  <c:v>1941.0</c:v>
                </c:pt>
                <c:pt idx="92">
                  <c:v>1942.0</c:v>
                </c:pt>
                <c:pt idx="93">
                  <c:v>1943.0</c:v>
                </c:pt>
                <c:pt idx="94">
                  <c:v>1944.0</c:v>
                </c:pt>
                <c:pt idx="95">
                  <c:v>1945.0</c:v>
                </c:pt>
                <c:pt idx="96">
                  <c:v>1946.0</c:v>
                </c:pt>
                <c:pt idx="97">
                  <c:v>1947.0</c:v>
                </c:pt>
                <c:pt idx="98">
                  <c:v>1948.0</c:v>
                </c:pt>
                <c:pt idx="99">
                  <c:v>1949.0</c:v>
                </c:pt>
                <c:pt idx="100">
                  <c:v>1950.0</c:v>
                </c:pt>
                <c:pt idx="101">
                  <c:v>1951.0</c:v>
                </c:pt>
                <c:pt idx="102">
                  <c:v>1952.0</c:v>
                </c:pt>
                <c:pt idx="103">
                  <c:v>1953.0</c:v>
                </c:pt>
                <c:pt idx="104">
                  <c:v>1954.0</c:v>
                </c:pt>
                <c:pt idx="105">
                  <c:v>1955.0</c:v>
                </c:pt>
                <c:pt idx="106">
                  <c:v>1956.0</c:v>
                </c:pt>
                <c:pt idx="107">
                  <c:v>1957.0</c:v>
                </c:pt>
                <c:pt idx="108">
                  <c:v>1958.0</c:v>
                </c:pt>
                <c:pt idx="109">
                  <c:v>1959.0</c:v>
                </c:pt>
                <c:pt idx="110">
                  <c:v>1960.0</c:v>
                </c:pt>
                <c:pt idx="111">
                  <c:v>1961.0</c:v>
                </c:pt>
                <c:pt idx="112">
                  <c:v>1962.0</c:v>
                </c:pt>
                <c:pt idx="113">
                  <c:v>1963.0</c:v>
                </c:pt>
                <c:pt idx="114">
                  <c:v>1964.0</c:v>
                </c:pt>
                <c:pt idx="115">
                  <c:v>1965.0</c:v>
                </c:pt>
                <c:pt idx="116">
                  <c:v>1966.0</c:v>
                </c:pt>
                <c:pt idx="117">
                  <c:v>1967.0</c:v>
                </c:pt>
                <c:pt idx="118">
                  <c:v>1968.0</c:v>
                </c:pt>
                <c:pt idx="119">
                  <c:v>1969.0</c:v>
                </c:pt>
                <c:pt idx="120">
                  <c:v>1970.0</c:v>
                </c:pt>
                <c:pt idx="121">
                  <c:v>1971.0</c:v>
                </c:pt>
                <c:pt idx="122">
                  <c:v>1972.0</c:v>
                </c:pt>
                <c:pt idx="123">
                  <c:v>1973.0</c:v>
                </c:pt>
                <c:pt idx="124">
                  <c:v>1974.0</c:v>
                </c:pt>
                <c:pt idx="125">
                  <c:v>1975.0</c:v>
                </c:pt>
                <c:pt idx="126">
                  <c:v>1976.0</c:v>
                </c:pt>
                <c:pt idx="127">
                  <c:v>1977.0</c:v>
                </c:pt>
                <c:pt idx="128">
                  <c:v>1978.0</c:v>
                </c:pt>
                <c:pt idx="129">
                  <c:v>1979.0</c:v>
                </c:pt>
                <c:pt idx="130">
                  <c:v>1980.0</c:v>
                </c:pt>
                <c:pt idx="131">
                  <c:v>1981.0</c:v>
                </c:pt>
                <c:pt idx="132">
                  <c:v>1982.0</c:v>
                </c:pt>
                <c:pt idx="133">
                  <c:v>1983.0</c:v>
                </c:pt>
                <c:pt idx="134">
                  <c:v>1984.0</c:v>
                </c:pt>
                <c:pt idx="135">
                  <c:v>1985.0</c:v>
                </c:pt>
                <c:pt idx="136">
                  <c:v>1986.0</c:v>
                </c:pt>
                <c:pt idx="137">
                  <c:v>1987.0</c:v>
                </c:pt>
                <c:pt idx="138">
                  <c:v>1988.0</c:v>
                </c:pt>
                <c:pt idx="139">
                  <c:v>1989.0</c:v>
                </c:pt>
                <c:pt idx="140">
                  <c:v>1990.0</c:v>
                </c:pt>
                <c:pt idx="141">
                  <c:v>1991.0</c:v>
                </c:pt>
                <c:pt idx="142">
                  <c:v>1992.0</c:v>
                </c:pt>
                <c:pt idx="143">
                  <c:v>1993.0</c:v>
                </c:pt>
                <c:pt idx="144">
                  <c:v>1994.0</c:v>
                </c:pt>
                <c:pt idx="145">
                  <c:v>1995.0</c:v>
                </c:pt>
                <c:pt idx="146">
                  <c:v>1996.0</c:v>
                </c:pt>
                <c:pt idx="147">
                  <c:v>1997.0</c:v>
                </c:pt>
                <c:pt idx="148">
                  <c:v>1998.0</c:v>
                </c:pt>
                <c:pt idx="149">
                  <c:v>1999.0</c:v>
                </c:pt>
                <c:pt idx="150">
                  <c:v>2000.0</c:v>
                </c:pt>
                <c:pt idx="151">
                  <c:v>2001.0</c:v>
                </c:pt>
                <c:pt idx="152">
                  <c:v>2002.0</c:v>
                </c:pt>
                <c:pt idx="153">
                  <c:v>2003.0</c:v>
                </c:pt>
                <c:pt idx="154">
                  <c:v>2004.0</c:v>
                </c:pt>
                <c:pt idx="155">
                  <c:v>2005.0</c:v>
                </c:pt>
                <c:pt idx="156">
                  <c:v>2006.0</c:v>
                </c:pt>
                <c:pt idx="157">
                  <c:v>2007.0</c:v>
                </c:pt>
                <c:pt idx="158">
                  <c:v>2008.0</c:v>
                </c:pt>
                <c:pt idx="159">
                  <c:v>2009.0</c:v>
                </c:pt>
                <c:pt idx="160">
                  <c:v>2010.0</c:v>
                </c:pt>
                <c:pt idx="161">
                  <c:v>2011.0</c:v>
                </c:pt>
                <c:pt idx="162">
                  <c:v>2012.0</c:v>
                </c:pt>
                <c:pt idx="163">
                  <c:v>2013.0</c:v>
                </c:pt>
                <c:pt idx="164">
                  <c:v>2014.0</c:v>
                </c:pt>
                <c:pt idx="165">
                  <c:v>2015.0</c:v>
                </c:pt>
                <c:pt idx="166">
                  <c:v>2016.0</c:v>
                </c:pt>
                <c:pt idx="167">
                  <c:v>2017.0</c:v>
                </c:pt>
                <c:pt idx="168">
                  <c:v>2018.0</c:v>
                </c:pt>
              </c:numCache>
            </c:numRef>
          </c:cat>
          <c:val>
            <c:numRef>
              <c:f>Sheet1!$B$2:$B$170</c:f>
              <c:numCache>
                <c:formatCode>#,##0</c:formatCode>
                <c:ptCount val="169"/>
                <c:pt idx="0">
                  <c:v>1706.0</c:v>
                </c:pt>
                <c:pt idx="1">
                  <c:v>1720.0</c:v>
                </c:pt>
                <c:pt idx="2">
                  <c:v>1785.0</c:v>
                </c:pt>
                <c:pt idx="3">
                  <c:v>1785.0</c:v>
                </c:pt>
                <c:pt idx="4">
                  <c:v>1804.0</c:v>
                </c:pt>
                <c:pt idx="5">
                  <c:v>1892.0</c:v>
                </c:pt>
                <c:pt idx="6">
                  <c:v>1800.0</c:v>
                </c:pt>
                <c:pt idx="7">
                  <c:v>1742.0</c:v>
                </c:pt>
                <c:pt idx="8">
                  <c:v>1774.0</c:v>
                </c:pt>
                <c:pt idx="9">
                  <c:v>1862.0</c:v>
                </c:pt>
                <c:pt idx="10">
                  <c:v>1930.0</c:v>
                </c:pt>
                <c:pt idx="11">
                  <c:v>1932.0</c:v>
                </c:pt>
                <c:pt idx="12">
                  <c:v>1932.0</c:v>
                </c:pt>
                <c:pt idx="13">
                  <c:v>1959.0</c:v>
                </c:pt>
                <c:pt idx="14">
                  <c:v>1946.0</c:v>
                </c:pt>
                <c:pt idx="15">
                  <c:v>1865.0</c:v>
                </c:pt>
                <c:pt idx="16">
                  <c:v>1977.0</c:v>
                </c:pt>
                <c:pt idx="17">
                  <c:v>1946.0</c:v>
                </c:pt>
                <c:pt idx="18">
                  <c:v>1701.0</c:v>
                </c:pt>
                <c:pt idx="19">
                  <c:v>1760.0</c:v>
                </c:pt>
                <c:pt idx="20">
                  <c:v>1809.0</c:v>
                </c:pt>
                <c:pt idx="21">
                  <c:v>1948.0</c:v>
                </c:pt>
                <c:pt idx="22">
                  <c:v>2246.0</c:v>
                </c:pt>
                <c:pt idx="23">
                  <c:v>2428.0</c:v>
                </c:pt>
                <c:pt idx="24">
                  <c:v>2216.0</c:v>
                </c:pt>
                <c:pt idx="25">
                  <c:v>2276.0</c:v>
                </c:pt>
                <c:pt idx="26">
                  <c:v>2346.0</c:v>
                </c:pt>
                <c:pt idx="27">
                  <c:v>2601.0</c:v>
                </c:pt>
                <c:pt idx="28">
                  <c:v>2495.0</c:v>
                </c:pt>
                <c:pt idx="29">
                  <c:v>2316.0</c:v>
                </c:pt>
                <c:pt idx="30">
                  <c:v>2520.0</c:v>
                </c:pt>
                <c:pt idx="31">
                  <c:v>2538.0</c:v>
                </c:pt>
                <c:pt idx="32">
                  <c:v>2547.0</c:v>
                </c:pt>
                <c:pt idx="33">
                  <c:v>2582.0</c:v>
                </c:pt>
                <c:pt idx="34">
                  <c:v>2590.0</c:v>
                </c:pt>
                <c:pt idx="35">
                  <c:v>2493.0</c:v>
                </c:pt>
                <c:pt idx="36">
                  <c:v>2436.0</c:v>
                </c:pt>
                <c:pt idx="37">
                  <c:v>2381.0</c:v>
                </c:pt>
                <c:pt idx="38">
                  <c:v>2475.0</c:v>
                </c:pt>
                <c:pt idx="39">
                  <c:v>2469.0</c:v>
                </c:pt>
                <c:pt idx="40">
                  <c:v>2463.0</c:v>
                </c:pt>
                <c:pt idx="41">
                  <c:v>2509.0</c:v>
                </c:pt>
                <c:pt idx="42">
                  <c:v>2719.0</c:v>
                </c:pt>
                <c:pt idx="43">
                  <c:v>2603.0</c:v>
                </c:pt>
                <c:pt idx="44">
                  <c:v>2633.0</c:v>
                </c:pt>
                <c:pt idx="45">
                  <c:v>2589.0</c:v>
                </c:pt>
                <c:pt idx="46">
                  <c:v>2330.0</c:v>
                </c:pt>
                <c:pt idx="47">
                  <c:v>2469.0</c:v>
                </c:pt>
                <c:pt idx="48">
                  <c:v>2628.0</c:v>
                </c:pt>
                <c:pt idx="49">
                  <c:v>2636.0</c:v>
                </c:pt>
                <c:pt idx="50">
                  <c:v>2676.0</c:v>
                </c:pt>
                <c:pt idx="51">
                  <c:v>2885.0</c:v>
                </c:pt>
                <c:pt idx="52">
                  <c:v>2740.0</c:v>
                </c:pt>
                <c:pt idx="53">
                  <c:v>2713.0</c:v>
                </c:pt>
                <c:pt idx="54">
                  <c:v>2660.0</c:v>
                </c:pt>
                <c:pt idx="55">
                  <c:v>2622.0</c:v>
                </c:pt>
                <c:pt idx="56">
                  <c:v>2775.0</c:v>
                </c:pt>
                <c:pt idx="57">
                  <c:v>2828.0</c:v>
                </c:pt>
                <c:pt idx="58">
                  <c:v>2917.0</c:v>
                </c:pt>
                <c:pt idx="59">
                  <c:v>2978.0</c:v>
                </c:pt>
                <c:pt idx="60">
                  <c:v>2823.0</c:v>
                </c:pt>
                <c:pt idx="61">
                  <c:v>3027.0</c:v>
                </c:pt>
                <c:pt idx="62">
                  <c:v>2915.0</c:v>
                </c:pt>
                <c:pt idx="63">
                  <c:v>3067.0</c:v>
                </c:pt>
                <c:pt idx="64">
                  <c:v>2962.0</c:v>
                </c:pt>
                <c:pt idx="65">
                  <c:v>2973.0</c:v>
                </c:pt>
                <c:pt idx="66">
                  <c:v>3076.0</c:v>
                </c:pt>
                <c:pt idx="67">
                  <c:v>3014.0</c:v>
                </c:pt>
                <c:pt idx="68">
                  <c:v>2979.0</c:v>
                </c:pt>
                <c:pt idx="69">
                  <c:v>3024.0</c:v>
                </c:pt>
                <c:pt idx="70">
                  <c:v>3244.0</c:v>
                </c:pt>
                <c:pt idx="71">
                  <c:v>3322.0</c:v>
                </c:pt>
                <c:pt idx="72">
                  <c:v>3427.0</c:v>
                </c:pt>
                <c:pt idx="73">
                  <c:v>3433.0</c:v>
                </c:pt>
                <c:pt idx="74">
                  <c:v>3518.0</c:v>
                </c:pt>
                <c:pt idx="75">
                  <c:v>3725.0</c:v>
                </c:pt>
                <c:pt idx="76">
                  <c:v>3650.0</c:v>
                </c:pt>
                <c:pt idx="77">
                  <c:v>3959.0</c:v>
                </c:pt>
                <c:pt idx="78">
                  <c:v>3907.0</c:v>
                </c:pt>
                <c:pt idx="79">
                  <c:v>4173.0</c:v>
                </c:pt>
                <c:pt idx="80">
                  <c:v>3923.0</c:v>
                </c:pt>
                <c:pt idx="81">
                  <c:v>3787.0</c:v>
                </c:pt>
                <c:pt idx="82">
                  <c:v>3856.0</c:v>
                </c:pt>
                <c:pt idx="83">
                  <c:v>3690.0</c:v>
                </c:pt>
                <c:pt idx="84">
                  <c:v>3783.0</c:v>
                </c:pt>
                <c:pt idx="85">
                  <c:v>3806.0</c:v>
                </c:pt>
                <c:pt idx="86">
                  <c:v>2876.0</c:v>
                </c:pt>
                <c:pt idx="87">
                  <c:v>2654.0</c:v>
                </c:pt>
                <c:pt idx="88">
                  <c:v>2636.0</c:v>
                </c:pt>
                <c:pt idx="89">
                  <c:v>2885.0</c:v>
                </c:pt>
                <c:pt idx="90">
                  <c:v>3170.0</c:v>
                </c:pt>
                <c:pt idx="91">
                  <c:v>3191.0</c:v>
                </c:pt>
                <c:pt idx="92">
                  <c:v>3394.0</c:v>
                </c:pt>
                <c:pt idx="93">
                  <c:v>3551.0</c:v>
                </c:pt>
                <c:pt idx="94">
                  <c:v>3676.0</c:v>
                </c:pt>
                <c:pt idx="95">
                  <c:v>3357.0</c:v>
                </c:pt>
                <c:pt idx="96">
                  <c:v>3473.0</c:v>
                </c:pt>
                <c:pt idx="97">
                  <c:v>3513.0</c:v>
                </c:pt>
                <c:pt idx="98">
                  <c:v>3478.0</c:v>
                </c:pt>
                <c:pt idx="99">
                  <c:v>3435.0</c:v>
                </c:pt>
                <c:pt idx="100">
                  <c:v>3464.0</c:v>
                </c:pt>
                <c:pt idx="101">
                  <c:v>3790.0</c:v>
                </c:pt>
                <c:pt idx="102">
                  <c:v>4105.0</c:v>
                </c:pt>
                <c:pt idx="103">
                  <c:v>4066.0</c:v>
                </c:pt>
                <c:pt idx="104">
                  <c:v>4328.0</c:v>
                </c:pt>
                <c:pt idx="105">
                  <c:v>4442.0</c:v>
                </c:pt>
                <c:pt idx="106">
                  <c:v>4769.0</c:v>
                </c:pt>
                <c:pt idx="107">
                  <c:v>4900.0</c:v>
                </c:pt>
                <c:pt idx="108">
                  <c:v>5176.0</c:v>
                </c:pt>
                <c:pt idx="109">
                  <c:v>5085.0</c:v>
                </c:pt>
                <c:pt idx="110">
                  <c:v>5037.0</c:v>
                </c:pt>
                <c:pt idx="111">
                  <c:v>5587.0</c:v>
                </c:pt>
                <c:pt idx="112">
                  <c:v>6083.0</c:v>
                </c:pt>
                <c:pt idx="113">
                  <c:v>6639.0</c:v>
                </c:pt>
                <c:pt idx="114">
                  <c:v>6945.0</c:v>
                </c:pt>
                <c:pt idx="115">
                  <c:v>7420.0</c:v>
                </c:pt>
                <c:pt idx="116">
                  <c:v>7881.0</c:v>
                </c:pt>
                <c:pt idx="117">
                  <c:v>8215.0</c:v>
                </c:pt>
                <c:pt idx="118">
                  <c:v>8606.0</c:v>
                </c:pt>
                <c:pt idx="119">
                  <c:v>9307.0</c:v>
                </c:pt>
                <c:pt idx="120">
                  <c:v>9511.0</c:v>
                </c:pt>
                <c:pt idx="121">
                  <c:v>9894.0</c:v>
                </c:pt>
                <c:pt idx="122">
                  <c:v>10796.0</c:v>
                </c:pt>
                <c:pt idx="123">
                  <c:v>11638.0</c:v>
                </c:pt>
                <c:pt idx="124">
                  <c:v>12388.0</c:v>
                </c:pt>
                <c:pt idx="125">
                  <c:v>12621.0</c:v>
                </c:pt>
                <c:pt idx="126">
                  <c:v>13053.0</c:v>
                </c:pt>
                <c:pt idx="127">
                  <c:v>13342.0</c:v>
                </c:pt>
                <c:pt idx="128">
                  <c:v>13573.0</c:v>
                </c:pt>
                <c:pt idx="129">
                  <c:v>13681.0</c:v>
                </c:pt>
                <c:pt idx="130">
                  <c:v>14008.0</c:v>
                </c:pt>
                <c:pt idx="131">
                  <c:v>13895.0</c:v>
                </c:pt>
                <c:pt idx="132">
                  <c:v>14045.0</c:v>
                </c:pt>
                <c:pt idx="133">
                  <c:v>14237.0</c:v>
                </c:pt>
                <c:pt idx="134">
                  <c:v>14308.0</c:v>
                </c:pt>
                <c:pt idx="135">
                  <c:v>14690.0</c:v>
                </c:pt>
                <c:pt idx="136">
                  <c:v>15237.0</c:v>
                </c:pt>
                <c:pt idx="137">
                  <c:v>16268.0</c:v>
                </c:pt>
                <c:pt idx="138">
                  <c:v>17272.0</c:v>
                </c:pt>
                <c:pt idx="139">
                  <c:v>18359.0</c:v>
                </c:pt>
                <c:pt idx="140">
                  <c:v>19215.0</c:v>
                </c:pt>
                <c:pt idx="141">
                  <c:v>19958.0</c:v>
                </c:pt>
                <c:pt idx="142">
                  <c:v>20329.0</c:v>
                </c:pt>
                <c:pt idx="143">
                  <c:v>20057.0</c:v>
                </c:pt>
                <c:pt idx="144">
                  <c:v>20674.0</c:v>
                </c:pt>
                <c:pt idx="145">
                  <c:v>21522.0</c:v>
                </c:pt>
                <c:pt idx="146">
                  <c:v>22185.0</c:v>
                </c:pt>
                <c:pt idx="147">
                  <c:v>23114.0</c:v>
                </c:pt>
                <c:pt idx="148">
                  <c:v>24285.0</c:v>
                </c:pt>
                <c:pt idx="149">
                  <c:v>25550.0</c:v>
                </c:pt>
                <c:pt idx="150">
                  <c:v>26995.0</c:v>
                </c:pt>
                <c:pt idx="151">
                  <c:v>28154.0</c:v>
                </c:pt>
                <c:pt idx="152">
                  <c:v>28753.0</c:v>
                </c:pt>
                <c:pt idx="153">
                  <c:v>29372.0</c:v>
                </c:pt>
                <c:pt idx="154">
                  <c:v>30088.0</c:v>
                </c:pt>
                <c:pt idx="155">
                  <c:v>30886.0</c:v>
                </c:pt>
                <c:pt idx="156">
                  <c:v>31907.0</c:v>
                </c:pt>
                <c:pt idx="157">
                  <c:v>32735.0</c:v>
                </c:pt>
                <c:pt idx="158">
                  <c:v>32844.0</c:v>
                </c:pt>
                <c:pt idx="159">
                  <c:v>31670.0</c:v>
                </c:pt>
                <c:pt idx="160">
                  <c:v>31786.0</c:v>
                </c:pt>
                <c:pt idx="161">
                  <c:v>31600.0</c:v>
                </c:pt>
                <c:pt idx="162">
                  <c:v>30699.0</c:v>
                </c:pt>
                <c:pt idx="163">
                  <c:v>30280.0</c:v>
                </c:pt>
                <c:pt idx="164">
                  <c:v>30819.0</c:v>
                </c:pt>
                <c:pt idx="165">
                  <c:v>31847.0</c:v>
                </c:pt>
                <c:pt idx="166">
                  <c:v>30110.0</c:v>
                </c:pt>
                <c:pt idx="167">
                  <c:v>30908.0</c:v>
                </c:pt>
                <c:pt idx="168">
                  <c:v>31497.0</c:v>
                </c:pt>
              </c:numCache>
            </c:numRef>
          </c:val>
          <c:smooth val="0"/>
          <c:extLst xmlns:c16r2="http://schemas.microsoft.com/office/drawing/2015/06/chart">
            <c:ext xmlns:c16="http://schemas.microsoft.com/office/drawing/2014/chart" uri="{C3380CC4-5D6E-409C-BE32-E72D297353CC}">
              <c16:uniqueId val="{00000008-AF0C-4499-84D8-AC5FC3A4BA3E}"/>
            </c:ext>
          </c:extLst>
        </c:ser>
        <c:dLbls>
          <c:showLegendKey val="0"/>
          <c:showVal val="0"/>
          <c:showCatName val="0"/>
          <c:showSerName val="0"/>
          <c:showPercent val="0"/>
          <c:showBubbleSize val="0"/>
        </c:dLbls>
        <c:smooth val="0"/>
        <c:axId val="861053024"/>
        <c:axId val="860883504"/>
      </c:lineChart>
      <c:catAx>
        <c:axId val="86105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883504"/>
        <c:crosses val="autoZero"/>
        <c:auto val="1"/>
        <c:lblAlgn val="ctr"/>
        <c:lblOffset val="100"/>
        <c:noMultiLvlLbl val="0"/>
      </c:catAx>
      <c:valAx>
        <c:axId val="86088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 per capita</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05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111</Words>
  <Characters>633</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Ellingsen</dc:creator>
  <cp:keywords/>
  <dc:description/>
  <cp:lastModifiedBy>Sebastian Ellingsen</cp:lastModifiedBy>
  <cp:revision>1</cp:revision>
  <dcterms:created xsi:type="dcterms:W3CDTF">2023-09-22T14:47:00Z</dcterms:created>
  <dcterms:modified xsi:type="dcterms:W3CDTF">2023-09-22T15:19:00Z</dcterms:modified>
</cp:coreProperties>
</file>