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 xml:space="preserve">SYNTHETIC EXERCISE. No real parties, service or legal advice. ICT Services Agreement.</w:t>
      </w:r>
    </w:p>
    <w:p>
      <w:r>
        <w:t xml:space="preserve">1. Scope. Example Bank AG, a hypothetical German credit institution, engages Example Systems GmbH to host and operate its customer payment processing platform. For this exercise the service supports a critical or important function. German law governs this agreement.</w:t>
      </w:r>
    </w:p>
    <w:p>
      <w:r>
        <w:t xml:space="preserve">2. Fees. The annual fee is EUR 120,000, payable quarterly in advance. The Provider may increase fees by any amount on ten days notice.</w:t>
      </w:r>
    </w:p>
    <w:p>
      <w:r>
        <w:t xml:space="preserve">3. Term. The initial term is two years. It renews for another two years unless the Customer gives notice at least six months before expiry.</w:t>
      </w:r>
    </w:p>
    <w:p>
      <w:r>
        <w:t xml:space="preserve">4. Availability. The Provider aims for reasonable availability. It measures uptime at its discretion and provides no agreed numerical target or remediation timetable.</w:t>
      </w:r>
    </w:p>
    <w:p>
      <w:r>
        <w:t xml:space="preserve">5. Data locations. Services and data storage are provided in Germany. The Provider will notify the Customer at least sixty days before any intended processing or storage location change.</w:t>
      </w:r>
    </w:p>
    <w:p>
      <w:r>
        <w:t xml:space="preserve">6. Incident assistance. The Provider will assist with service-related ICT incidents. The price and scope of assistance will be negotiated after the incident occurs.</w:t>
      </w:r>
    </w:p>
    <w:p>
      <w:r>
        <w:t xml:space="preserve">7. Security. The Provider maintains access controls and encrypted backups. It will implement and test a business contingency plan annually and supply the Customer with the test summary.</w:t>
      </w:r>
    </w:p>
    <w:p>
      <w:r>
        <w:t xml:space="preserve">8. Audit. The Customer may receive the Provider annual security certificate. Customer, appointed auditor and authority inspections and access to underlying records are excluded.</w:t>
      </w:r>
    </w:p>
    <w:p>
      <w:r>
        <w:t xml:space="preserve">9. Liability. Provider liability for ordinary negligence is limited to one monthly fee. Liability for intent, gross negligence and injury to life, body or health remains subject to mandatory law.</w:t>
      </w:r>
    </w:p>
    <w:p>
      <w:r>
        <w:t xml:space="preserve">10. Suspension. The Provider may suspend the entire service immediately if any invoice is disputed or overdue, without notice or an opportunity to cure.</w:t>
      </w:r>
    </w:p>
    <w:p>
      <w:r>
        <w:t xml:space="preserve">11. Data return. At termination the Customer may download its records for seven days. The Provider may then delete every copy. No export format or recovery assistance is agreed.</w:t>
      </w:r>
    </w:p>
    <w:p>
      <w:r>
        <w:t xml:space="preserve">12. Notices and changes. Changes require written agreement. The Customer can raise service questions through its named relationship manager. This document contains the entire synthetic exercise.</w:t>
      </w:r>
    </w:p>
    <w:sectPr>
      <w:pgSz w:w="11906" w:h="16838"/>
      <w:pgMar w:top="1134" w:right="1134" w:bottom="1134" w:left="1134"/>
    </w:sectPr>
  </w:body>
</w:document>
</file>