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pStyle w:val="Title"/>
      </w:pPr>
      <w:r>
        <w:t xml:space="preserve">SYNTHETIC MASTER SUBSCRIPTION AGREEMENT</w:t>
      </w:r>
    </w:p>
    <w:p>
      <w:r>
        <w:rPr>
          <w:i/>
        </w:rPr>
        <w:t xml:space="preserve">Synthetic training document. Northwind Analytics GmbH (Supplier) and Example Retail SE (Customer) are fictitious. Customer draft, variant: specialist.</w:t>
      </w:r>
    </w:p>
    <w:p>
      <w:pPr>
        <w:pStyle w:val="Heading1"/>
      </w:pPr>
      <w:bookmarkStart w:id="0" w:name="_SyntheticClause"/>
      <w:r>
        <w:t xml:space="preserve">1. Definitions</w:t>
      </w:r>
      <w:bookmarkEnd w:id="0"/>
    </w:p>
    <w:p>
      <w:r>
        <w:t xml:space="preserve">1.1</w:t>
        <w:tab/>
      </w:r>
      <w:r>
        <w:rPr>
          <w:b/>
        </w:rPr>
        <w:t xml:space="preserve">Fees</w:t>
      </w:r>
      <w:r>
        <w:t xml:space="preserve"> means the subscription fees set out in the Order Form.</w:t>
      </w:r>
    </w:p>
    <w:p>
      <w:pPr>
        <w:pStyle w:val="Heading1"/>
      </w:pPr>
      <w:r>
        <w:t xml:space="preserve">2. Fees and Payment</w:t>
      </w:r>
    </w:p>
    <w:p>
      <w:r>
        <w:t xml:space="preserve">2.1</w:t>
        <w:tab/>
        <w:t xml:space="preserve">Customer shall pay undisputed invoices within ninety (90) days of receipt.</w:t>
      </w:r>
    </w:p>
    <w:p>
      <w:pPr>
        <w:pStyle w:val="Heading1"/>
      </w:pPr>
      <w:r>
        <w:t xml:space="preserve">3. Audit</w:t>
      </w:r>
    </w:p>
    <w:p>
      <w:r>
        <w:t xml:space="preserve">3.1</w:t>
        <w:tab/>
        <w:t xml:space="preserve">Customer may audit Supplier's facilities, systems and records </w:t>
      </w:r>
      <w:r>
        <w:rPr>
          <w:b/>
        </w:rPr>
        <w:t xml:space="preserve">at any time</w:t>
      </w:r>
      <w:r>
        <w:t xml:space="preserve"> and without prior notice.</w:t>
      </w:r>
    </w:p>
    <w:p>
      <w:pPr>
        <w:pStyle w:val="Heading1"/>
      </w:pPr>
      <w:r>
        <w:t xml:space="preserve">4. Data Protection</w:t>
      </w:r>
    </w:p>
    <w:p>
      <w:r>
        <w:t xml:space="preserve">4.1</w:t>
        <w:tab/>
        <w:t xml:space="preserve">Supplier shall not engage any subprocessor for the processing of Customer Personal Data.</w:t>
      </w:r>
    </w:p>
    <w:p>
      <w:pPr>
        <w:pStyle w:val="Heading1"/>
      </w:pPr>
      <w:r>
        <w:t xml:space="preserve">5. Limitation of Liability</w:t>
      </w:r>
    </w:p>
    <w:p>
      <w:r>
        <w:lastRenderedPageBreak/>
        <w:t xml:space="preserve">5.1</w:t>
        <w:tab/>
        <w:t xml:space="preserve">Supplier's </w:t>
      </w:r>
      <w:r>
        <w:rPr>
          <w:b/>
        </w:rPr>
        <w:t xml:space="preserve">aggregate liability</w:t>
      </w:r>
      <w:r>
        <w:t xml:space="preserve"> under this Agreement shall not exceed three hundred </w:t>
      </w:r>
      <w:r>
        <w:rPr>
          <w:i/>
        </w:rPr>
        <w:t xml:space="preserve">percent (300%)</w:t>
      </w:r>
      <w:r>
        <w:t xml:space="preserve"> of the Fees paid in the twelve (12) months preceding the claim.</w:t>
      </w:r>
    </w:p>
    <w:p>
      <w:pPr>
        <w:pStyle w:val="Heading1"/>
      </w:pPr>
      <w:r>
        <w:t xml:space="preserve">6. Product Roadmap and Pricing</w:t>
      </w:r>
    </w:p>
    <w:p>
      <w:r>
        <w:t xml:space="preserve">6.1</w:t>
        <w:tab/>
        <w:t xml:space="preserve">Supplier shall deliver the features described in the Product Roadmap no later than 31 December 2026.</w:t>
      </w:r>
    </w:p>
    <w:p>
      <w:r>
        <w:t xml:space="preserve">6.2</w:t>
        <w:tab/>
        <w:t xml:space="preserve">Customer shall be entitled to the most favourable pricing offered by Supplier to any other customer.</w:t>
      </w:r>
    </w:p>
    <w:p>
      <w:pPr>
        <w:pStyle w:val="Heading1"/>
      </w:pPr>
      <w:r>
        <w:t xml:space="preserve">7. General</w:t>
      </w:r>
    </w:p>
    <w:p>
      <w:r>
        <w:t xml:space="preserve">7.1</w:t>
        <w:tab/>
        <w:t xml:space="preserve">This Agreement is governed by the laws of Germany.</w:t>
      </w:r>
    </w:p>
    <w:tbl>
      <w:tblPr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>Order summary (synthetic)</w:t>
            </w:r>
          </w:p>
        </w:tc>
        <w:tc>
          <w:tcPr>
            <w:tcW w:w="4500" w:type="dxa"/>
          </w:tcPr>
          <w:p>
            <w:r>
              <w:t>Value</w:t>
            </w:r>
          </w:p>
        </w:tc>
      </w:tr>
      <w:tr>
        <w:tc>
          <w:tcPr>
            <w:tcW w:w="4500" w:type="dxa"/>
          </w:tcPr>
          <w:p>
            <w:r>
              <w:t>Annual contract value</w:t>
            </w:r>
          </w:p>
        </w:tc>
        <w:tc>
          <w:tcPr>
            <w:tcW w:w="4500" w:type="dxa"/>
          </w:tcPr>
          <w:p>
            <w:r>
              <w:t>EUR 480,000</w:t>
            </w:r>
          </w:p>
        </w:tc>
      </w:tr>
      <w:tr>
        <w:tc>
          <w:tcPr>
            <w:tcW w:w="4500" w:type="dxa"/>
          </w:tcPr>
          <w:p>
            <w:r>
              <w:t>Initial term</w:t>
            </w:r>
          </w:p>
        </w:tc>
        <w:tc>
          <w:tcPr>
            <w:tcW w:w="4500" w:type="dxa"/>
          </w:tcPr>
          <w:p>
            <w:r>
              <w:t>36 months</w:t>
            </w:r>
          </w:p>
        </w:tc>
      </w:tr>
    </w:tbl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32"/>
    </w:rPr>
  </w:style>
  <w:style w:type="paragraph" w:styleId="Heading1">
    <w:name w:val="heading 1"/>
    <w:basedOn w:val="Normal"/>
    <w:pPr>
      <w:keepNext/>
      <w:spacing w:before="24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