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EuroStable Asset-Referenced Token White Paper</w:t>
      </w:r>
    </w:p>
    <w:p>
      <w:pPr>
        <w:pStyle w:val="Heading1"/>
      </w:pPr>
      <w:r>
        <w:t>Plain-Language Summary</w:t>
      </w:r>
    </w:p>
    <w:p>
      <w:r>
        <w:t>This summary provides key information about the EuroStable asset-referenced token (ART). It is intended to support the prospective holder in making an informed decision. The summary covers the issuer, the reference assets, the rights of holders including the redemption right at par, the principal risks, the reserve composition, and the redemption procedure. The full white paper must be read alongside this summary.</w:t>
      </w:r>
    </w:p>
    <w:p>
      <w:pPr>
        <w:pStyle w:val="Heading1"/>
      </w:pPr>
      <w:r>
        <w:t>Mandatory Risk Warning Statement</w:t>
      </w:r>
    </w:p>
    <w:p>
      <w:r>
        <w:t>The asset-referenced token described in this white paper may lose its value in part or in full, may not always be transferable, and may not be liquid. Past performance is not indicative of future performance. The token is not covered by investor compensation schemes. The risk of total loss is real and the holder should not invest amounts that cannot be lost in full.</w:t>
      </w:r>
    </w:p>
    <w:p>
      <w:pPr>
        <w:pStyle w:val="Heading1"/>
      </w:pPr>
      <w:r>
        <w:t>Statement by the Management Body</w:t>
      </w:r>
    </w:p>
    <w:p>
      <w:r>
        <w:t>The management body of the issuer declares that this white paper complies with the requirements of Regulation (EU) 2023/1114 (MiCAR), that the information presented is fair, clear, and not misleading, and that no information has been omitted that would be material to the assessment of the token.</w:t>
      </w:r>
    </w:p>
    <w:p>
      <w:pPr>
        <w:pStyle w:val="Heading1"/>
      </w:pPr>
      <w:r>
        <w:t>Date of Notification</w:t>
      </w:r>
    </w:p>
    <w:p>
      <w:r>
        <w:t>Date of notification to BaFin: 1 July 2026.</w:t>
      </w:r>
    </w:p>
    <w:p>
      <w:pPr>
        <w:pStyle w:val="Heading1"/>
      </w:pPr>
      <w:r>
        <w:t>Language</w:t>
      </w:r>
    </w:p>
    <w:p>
      <w:r>
        <w:t>This white paper is drawn up in English, a language customary in international finance.</w:t>
      </w:r>
    </w:p>
    <w:p>
      <w:pPr>
        <w:pStyle w:val="Heading1"/>
      </w:pPr>
      <w:r>
        <w:t>Information about the Issuer</w:t>
      </w:r>
    </w:p>
    <w:p>
      <w:r>
        <w:t>EuroStable AG is the issuer of the asset-referenced token. EuroStable AG is a stock corporation organised under the laws of Germany, with its registered seat in Hamburg. BaFin authorised the issuer on 15 March 2026. The management body consists of members with experience in payments.</w:t>
      </w:r>
    </w:p>
    <w:p>
      <w:pPr>
        <w:pStyle w:val="Heading1"/>
      </w:pPr>
      <w:r>
        <w:t>Information about the Token</w:t>
      </w:r>
    </w:p>
    <w:p>
      <w:r>
        <w:t>The EuroStable is an asset-referenced token within the meaning of Art. 3(1)(6) MiCAR. The token is backed by a reserve of assets consisting of EUR-denominated short-dated sovereign debt and bank deposits. The stabilisation mechanism operates through daily reconciliations.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