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64" w:rsidRDefault="00F15468" w:rsidP="00F9466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 dnia 1</w:t>
      </w:r>
      <w:r w:rsidR="002B567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stycznia</w:t>
      </w:r>
      <w:r w:rsidR="00F94664">
        <w:rPr>
          <w:rFonts w:ascii="Times New Roman" w:hAnsi="Times New Roman" w:cs="Times New Roman"/>
          <w:sz w:val="24"/>
          <w:szCs w:val="24"/>
        </w:rPr>
        <w:t xml:space="preserve"> 2012</w:t>
      </w:r>
      <w:r w:rsidR="00F22FCA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RYZYKA PRAWNEGO</w:t>
      </w:r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664">
        <w:rPr>
          <w:rFonts w:ascii="Times New Roman" w:hAnsi="Times New Roman" w:cs="Times New Roman"/>
          <w:b/>
          <w:sz w:val="24"/>
          <w:szCs w:val="24"/>
        </w:rPr>
        <w:t>Sporządzona przez</w:t>
      </w:r>
      <w:r>
        <w:rPr>
          <w:rFonts w:ascii="Times New Roman" w:hAnsi="Times New Roman" w:cs="Times New Roman"/>
          <w:sz w:val="24"/>
          <w:szCs w:val="24"/>
        </w:rPr>
        <w:t xml:space="preserve">: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</w:p>
    <w:p w:rsidR="00F94664" w:rsidRDefault="00F94664" w:rsidP="00F9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5C4" w:rsidRDefault="00F94664" w:rsidP="00F9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664">
        <w:rPr>
          <w:rFonts w:ascii="Times New Roman" w:hAnsi="Times New Roman" w:cs="Times New Roman"/>
          <w:b/>
          <w:sz w:val="24"/>
          <w:szCs w:val="24"/>
        </w:rPr>
        <w:t>Sporządzona dla</w:t>
      </w:r>
      <w:r>
        <w:rPr>
          <w:rFonts w:ascii="Times New Roman" w:hAnsi="Times New Roman" w:cs="Times New Roman"/>
          <w:sz w:val="24"/>
          <w:szCs w:val="24"/>
        </w:rPr>
        <w:t xml:space="preserve">:          </w:t>
      </w:r>
      <w:r w:rsidR="00E1771D">
        <w:rPr>
          <w:rFonts w:ascii="Times New Roman" w:hAnsi="Times New Roman" w:cs="Times New Roman"/>
          <w:sz w:val="24"/>
          <w:szCs w:val="24"/>
        </w:rPr>
        <w:t>Z</w:t>
      </w:r>
      <w:r w:rsidR="000F15C4">
        <w:rPr>
          <w:rFonts w:ascii="Times New Roman" w:hAnsi="Times New Roman" w:cs="Times New Roman"/>
          <w:sz w:val="24"/>
          <w:szCs w:val="24"/>
        </w:rPr>
        <w:t>arząd Beta S.A.</w:t>
      </w:r>
    </w:p>
    <w:p w:rsidR="000F15C4" w:rsidRDefault="000F15C4" w:rsidP="00F94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15C4" w:rsidRDefault="00F94664" w:rsidP="00F94664">
      <w:pPr>
        <w:autoSpaceDE w:val="0"/>
        <w:autoSpaceDN w:val="0"/>
        <w:adjustRightInd w:val="0"/>
        <w:spacing w:after="0" w:line="240" w:lineRule="auto"/>
        <w:ind w:left="2410" w:hanging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0F15C4" w:rsidRPr="000F15C4">
        <w:rPr>
          <w:rFonts w:ascii="Times New Roman" w:hAnsi="Times New Roman" w:cs="Times New Roman"/>
          <w:b/>
          <w:sz w:val="24"/>
          <w:szCs w:val="24"/>
        </w:rPr>
        <w:t>otyczy</w:t>
      </w:r>
      <w:r w:rsidR="000F15C4">
        <w:rPr>
          <w:rFonts w:ascii="Times New Roman" w:hAnsi="Times New Roman" w:cs="Times New Roman"/>
          <w:sz w:val="24"/>
          <w:szCs w:val="24"/>
        </w:rPr>
        <w:t>:</w:t>
      </w:r>
      <w:r w:rsidR="007B21C7">
        <w:rPr>
          <w:rFonts w:ascii="Times New Roman" w:hAnsi="Times New Roman" w:cs="Times New Roman"/>
          <w:sz w:val="24"/>
          <w:szCs w:val="24"/>
        </w:rPr>
        <w:t xml:space="preserve"> </w:t>
      </w:r>
      <w:r w:rsidR="0010137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F15C4">
        <w:rPr>
          <w:rFonts w:ascii="Times New Roman" w:hAnsi="Times New Roman" w:cs="Times New Roman"/>
          <w:sz w:val="24"/>
          <w:szCs w:val="24"/>
        </w:rPr>
        <w:t>oceny</w:t>
      </w:r>
      <w:r w:rsidR="000F15C4" w:rsidRPr="000F15C4">
        <w:rPr>
          <w:rFonts w:ascii="Times New Roman" w:hAnsi="Times New Roman" w:cs="Times New Roman"/>
          <w:sz w:val="24"/>
          <w:szCs w:val="24"/>
        </w:rPr>
        <w:t xml:space="preserve"> ryzyka związanego z wszczęciem postępowania arbitrażowego przez Beta S.A. w przypadku pominięcia etapu rozstrzygania przez Komisję rozjemstwa w sporach</w:t>
      </w:r>
      <w:r w:rsidR="000F15C4">
        <w:rPr>
          <w:rFonts w:ascii="Times New Roman" w:hAnsi="Times New Roman" w:cs="Times New Roman"/>
          <w:sz w:val="24"/>
          <w:szCs w:val="24"/>
        </w:rPr>
        <w:t>.</w:t>
      </w:r>
    </w:p>
    <w:p w:rsidR="00E1771D" w:rsidRDefault="00E1771D" w:rsidP="000F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753" w:rsidRDefault="00EF4753" w:rsidP="000F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753" w:rsidRDefault="00EF4753" w:rsidP="000F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664" w:rsidRDefault="00F94664" w:rsidP="00EF47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następującej treści:</w:t>
      </w:r>
    </w:p>
    <w:p w:rsidR="00F22FCA" w:rsidRDefault="00F22FCA" w:rsidP="000F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753" w:rsidRDefault="00EF4753" w:rsidP="000F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FCA" w:rsidRDefault="00F22FCA" w:rsidP="000F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2FCA">
        <w:rPr>
          <w:rFonts w:ascii="Times New Roman" w:hAnsi="Times New Roman" w:cs="Times New Roman"/>
          <w:b/>
          <w:sz w:val="24"/>
          <w:szCs w:val="24"/>
        </w:rPr>
        <w:t>Wstęp.</w:t>
      </w:r>
    </w:p>
    <w:p w:rsidR="00EF4753" w:rsidRPr="00F22FCA" w:rsidRDefault="00EF4753" w:rsidP="000F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FCA" w:rsidRDefault="00F22FCA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Przedstawione do analizy zagadnienie prawne sprowadza się </w:t>
      </w:r>
      <w:r w:rsidRPr="00F22FCA">
        <w:rPr>
          <w:rFonts w:ascii="Times New Roman" w:hAnsi="Times New Roman" w:cs="Times New Roman"/>
          <w:i/>
          <w:sz w:val="24"/>
          <w:szCs w:val="24"/>
        </w:rPr>
        <w:t>de facto</w:t>
      </w:r>
      <w:r>
        <w:rPr>
          <w:rFonts w:ascii="Times New Roman" w:hAnsi="Times New Roman" w:cs="Times New Roman"/>
          <w:sz w:val="24"/>
          <w:szCs w:val="24"/>
        </w:rPr>
        <w:t xml:space="preserve"> do odpowiedzi na dwa zasadnicze pytania:</w:t>
      </w:r>
    </w:p>
    <w:p w:rsidR="00F22FCA" w:rsidRDefault="00F22FCA" w:rsidP="00F22FC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Jakie decyzje może podjąć sąd arbitrażowy w przypadku pominięcia </w:t>
      </w:r>
      <w:r w:rsidR="002A23FC">
        <w:rPr>
          <w:rFonts w:ascii="Times New Roman" w:hAnsi="Times New Roman" w:cs="Times New Roman"/>
          <w:sz w:val="24"/>
          <w:szCs w:val="24"/>
        </w:rPr>
        <w:t>przedarbitrażowego sposobu rozstrzygania sporów?</w:t>
      </w:r>
    </w:p>
    <w:p w:rsidR="002A23FC" w:rsidRPr="00F22FCA" w:rsidRDefault="002A23FC" w:rsidP="002A23F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Jakie są </w:t>
      </w:r>
      <w:r w:rsidRPr="002A23FC">
        <w:rPr>
          <w:rFonts w:ascii="Times New Roman" w:hAnsi="Times New Roman" w:cs="Times New Roman"/>
          <w:sz w:val="24"/>
          <w:szCs w:val="24"/>
        </w:rPr>
        <w:t>szanse powodzenia ewentualnej skargi o uchylenie wyroku sądu p</w:t>
      </w:r>
      <w:r>
        <w:rPr>
          <w:rFonts w:ascii="Times New Roman" w:hAnsi="Times New Roman" w:cs="Times New Roman"/>
          <w:sz w:val="24"/>
          <w:szCs w:val="24"/>
        </w:rPr>
        <w:t>olubownego, przy założeniu, że sąd a</w:t>
      </w:r>
      <w:r w:rsidRPr="002A23FC">
        <w:rPr>
          <w:rFonts w:ascii="Times New Roman" w:hAnsi="Times New Roman" w:cs="Times New Roman"/>
          <w:sz w:val="24"/>
          <w:szCs w:val="24"/>
        </w:rPr>
        <w:t xml:space="preserve">rbitrażowy </w:t>
      </w:r>
      <w:r w:rsidR="00C76924">
        <w:rPr>
          <w:rFonts w:ascii="Times New Roman" w:hAnsi="Times New Roman" w:cs="Times New Roman"/>
          <w:sz w:val="24"/>
          <w:szCs w:val="24"/>
        </w:rPr>
        <w:t>uzna</w:t>
      </w:r>
      <w:r w:rsidRPr="002A23FC">
        <w:rPr>
          <w:rFonts w:ascii="Times New Roman" w:hAnsi="Times New Roman" w:cs="Times New Roman"/>
          <w:sz w:val="24"/>
          <w:szCs w:val="24"/>
        </w:rPr>
        <w:t>, że niewyczerpanie przedarbitrażowego trybu rozstrzygnięcia sporu uzgodnionego w umowie stron nie stanowi przeszkody do merytoryc</w:t>
      </w:r>
      <w:r>
        <w:rPr>
          <w:rFonts w:ascii="Times New Roman" w:hAnsi="Times New Roman" w:cs="Times New Roman"/>
          <w:sz w:val="24"/>
          <w:szCs w:val="24"/>
        </w:rPr>
        <w:t>znego rozpoznania sprawy przez sąd a</w:t>
      </w:r>
      <w:r w:rsidRPr="002A23FC">
        <w:rPr>
          <w:rFonts w:ascii="Times New Roman" w:hAnsi="Times New Roman" w:cs="Times New Roman"/>
          <w:sz w:val="24"/>
          <w:szCs w:val="24"/>
        </w:rPr>
        <w:t>rbitrażowy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94664" w:rsidRDefault="00F94664" w:rsidP="000F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5C4" w:rsidRDefault="002A23FC" w:rsidP="00F00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3FC">
        <w:rPr>
          <w:rFonts w:ascii="Times New Roman" w:hAnsi="Times New Roman" w:cs="Times New Roman"/>
          <w:b/>
          <w:sz w:val="24"/>
          <w:szCs w:val="24"/>
        </w:rPr>
        <w:t xml:space="preserve">Ad.1 </w:t>
      </w:r>
      <w:r>
        <w:rPr>
          <w:rFonts w:ascii="Times New Roman" w:hAnsi="Times New Roman" w:cs="Times New Roman"/>
          <w:b/>
          <w:sz w:val="24"/>
          <w:szCs w:val="24"/>
        </w:rPr>
        <w:t>Możliwe decyzje sądu arbitr</w:t>
      </w:r>
      <w:r w:rsidR="006F36E0">
        <w:rPr>
          <w:rFonts w:ascii="Times New Roman" w:hAnsi="Times New Roman" w:cs="Times New Roman"/>
          <w:b/>
          <w:sz w:val="24"/>
          <w:szCs w:val="24"/>
        </w:rPr>
        <w:t>ażowego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C78BA" w:rsidRPr="002A23FC" w:rsidRDefault="00EC78BA" w:rsidP="00F00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5DB3" w:rsidRDefault="00305DB3" w:rsidP="00F438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>Wszczynając postępowanie arbitrażowe z pominięciem przedarbitrażowych sposobów rozstrzygania sporu zarząd</w:t>
      </w:r>
      <w:r w:rsidR="00D056A8">
        <w:rPr>
          <w:rFonts w:ascii="Times New Roman" w:eastAsia="MinionPro-Regular" w:hAnsi="Times New Roman" w:cs="Times New Roman"/>
          <w:sz w:val="24"/>
          <w:szCs w:val="24"/>
        </w:rPr>
        <w:t xml:space="preserve"> Beta S.A. naraża się na zarzut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złamania podstawowych zasad postępowania cywilnego.</w:t>
      </w:r>
      <w:r w:rsidR="00601959">
        <w:rPr>
          <w:rFonts w:ascii="Times New Roman" w:eastAsia="MinionPro-Regular" w:hAnsi="Times New Roman" w:cs="Times New Roman"/>
          <w:sz w:val="24"/>
          <w:szCs w:val="24"/>
        </w:rPr>
        <w:t xml:space="preserve"> Tak</w:t>
      </w:r>
      <w:r w:rsidR="00C76924">
        <w:rPr>
          <w:rFonts w:ascii="Times New Roman" w:eastAsia="MinionPro-Regular" w:hAnsi="Times New Roman" w:cs="Times New Roman"/>
          <w:sz w:val="24"/>
          <w:szCs w:val="24"/>
        </w:rPr>
        <w:t>ie</w:t>
      </w:r>
      <w:r w:rsidR="00E35E7F">
        <w:rPr>
          <w:rFonts w:ascii="Times New Roman" w:eastAsia="MinionPro-Regular" w:hAnsi="Times New Roman" w:cs="Times New Roman"/>
          <w:sz w:val="24"/>
          <w:szCs w:val="24"/>
        </w:rPr>
        <w:t xml:space="preserve"> wnioski można wyciągnąć</w:t>
      </w:r>
      <w:r w:rsidR="00601959">
        <w:rPr>
          <w:rFonts w:ascii="Times New Roman" w:eastAsia="MinionPro-Regular" w:hAnsi="Times New Roman" w:cs="Times New Roman"/>
          <w:sz w:val="24"/>
          <w:szCs w:val="24"/>
        </w:rPr>
        <w:t xml:space="preserve"> z</w:t>
      </w:r>
      <w:r w:rsidR="00D056A8">
        <w:rPr>
          <w:rFonts w:ascii="Times New Roman" w:hAnsi="Times New Roman" w:cs="Times New Roman"/>
          <w:sz w:val="24"/>
          <w:szCs w:val="24"/>
        </w:rPr>
        <w:t xml:space="preserve"> </w:t>
      </w:r>
      <w:r w:rsidR="00601959">
        <w:rPr>
          <w:rFonts w:ascii="Times New Roman" w:hAnsi="Times New Roman" w:cs="Times New Roman"/>
          <w:sz w:val="24"/>
          <w:szCs w:val="24"/>
        </w:rPr>
        <w:t xml:space="preserve">Regulaminu Sądu Arbitrażowego </w:t>
      </w:r>
      <w:r w:rsidR="00E35E7F" w:rsidRPr="00311111">
        <w:rPr>
          <w:rFonts w:ascii="Times New Roman" w:hAnsi="Times New Roman" w:cs="Times New Roman"/>
        </w:rPr>
        <w:t>przy Krajowej Izbie Gospodarczej w Warszawie</w:t>
      </w:r>
      <w:r w:rsidR="00E35E7F">
        <w:rPr>
          <w:rStyle w:val="Odwoanieprzypisudolnego"/>
          <w:rFonts w:ascii="Times New Roman" w:hAnsi="Times New Roman" w:cs="Times New Roman"/>
        </w:rPr>
        <w:footnoteReference w:id="1"/>
      </w:r>
      <w:r w:rsidR="00E35E7F">
        <w:rPr>
          <w:rFonts w:ascii="Times New Roman" w:hAnsi="Times New Roman" w:cs="Times New Roman"/>
        </w:rPr>
        <w:t xml:space="preserve"> (dalej też: Regulamin Sądu Arbitrażowego), </w:t>
      </w:r>
      <w:r w:rsidR="00601959">
        <w:rPr>
          <w:rFonts w:ascii="Times New Roman" w:hAnsi="Times New Roman" w:cs="Times New Roman"/>
          <w:sz w:val="24"/>
          <w:szCs w:val="24"/>
        </w:rPr>
        <w:t>który stanowi,</w:t>
      </w:r>
      <w:r>
        <w:rPr>
          <w:rFonts w:ascii="Times New Roman" w:hAnsi="Times New Roman" w:cs="Times New Roman"/>
          <w:sz w:val="24"/>
          <w:szCs w:val="24"/>
        </w:rPr>
        <w:t xml:space="preserve"> że 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F60D27">
        <w:rPr>
          <w:rFonts w:ascii="Times New Roman" w:hAnsi="Times New Roman" w:cs="Times New Roman"/>
          <w:color w:val="000000"/>
          <w:sz w:val="24"/>
          <w:szCs w:val="24"/>
        </w:rPr>
        <w:t xml:space="preserve"> każdym</w:t>
      </w:r>
      <w:r w:rsidR="00E35E7F">
        <w:rPr>
          <w:rFonts w:ascii="Times New Roman" w:hAnsi="Times New Roman" w:cs="Times New Roman"/>
          <w:color w:val="000000"/>
          <w:sz w:val="24"/>
          <w:szCs w:val="24"/>
        </w:rPr>
        <w:t xml:space="preserve"> wypadku Zespół Orzekający</w:t>
      </w:r>
      <w:r w:rsidRPr="00305DB3">
        <w:rPr>
          <w:rFonts w:ascii="Times New Roman" w:hAnsi="Times New Roman" w:cs="Times New Roman"/>
          <w:color w:val="000000"/>
          <w:sz w:val="24"/>
          <w:szCs w:val="24"/>
        </w:rPr>
        <w:t>, uwzględnia postanowienia umowy o arbitraż (zapisu na sąd polubowny) oraz uzgodnio</w:t>
      </w:r>
      <w:r>
        <w:rPr>
          <w:rFonts w:ascii="Times New Roman" w:hAnsi="Times New Roman" w:cs="Times New Roman"/>
          <w:color w:val="000000"/>
          <w:sz w:val="24"/>
          <w:szCs w:val="24"/>
        </w:rPr>
        <w:t>ne przez strony zasa</w:t>
      </w:r>
      <w:r w:rsidR="00601959">
        <w:rPr>
          <w:rFonts w:ascii="Times New Roman" w:hAnsi="Times New Roman" w:cs="Times New Roman"/>
          <w:color w:val="000000"/>
          <w:sz w:val="24"/>
          <w:szCs w:val="24"/>
        </w:rPr>
        <w:t>dy i sposób postępowania przed s</w:t>
      </w:r>
      <w:r>
        <w:rPr>
          <w:rFonts w:ascii="Times New Roman" w:hAnsi="Times New Roman" w:cs="Times New Roman"/>
          <w:color w:val="000000"/>
          <w:sz w:val="24"/>
          <w:szCs w:val="24"/>
        </w:rPr>
        <w:t>ądem</w:t>
      </w:r>
      <w:r w:rsidR="00601959">
        <w:rPr>
          <w:rFonts w:ascii="Times New Roman" w:hAnsi="Times New Roman" w:cs="Times New Roman"/>
          <w:color w:val="000000"/>
          <w:sz w:val="24"/>
          <w:szCs w:val="24"/>
        </w:rPr>
        <w:t xml:space="preserve"> arbitrażowym</w:t>
      </w:r>
      <w:r>
        <w:rPr>
          <w:rStyle w:val="Odwoanieprzypisudolnego"/>
          <w:rFonts w:ascii="Times New Roman" w:hAnsi="Times New Roman" w:cs="Times New Roman"/>
          <w:color w:val="000000"/>
          <w:sz w:val="24"/>
          <w:szCs w:val="24"/>
        </w:rPr>
        <w:footnoteReference w:id="2"/>
      </w:r>
      <w:r w:rsidR="00601959">
        <w:rPr>
          <w:rFonts w:ascii="Times New Roman" w:hAnsi="Times New Roman" w:cs="Times New Roman"/>
          <w:color w:val="000000"/>
          <w:sz w:val="24"/>
          <w:szCs w:val="24"/>
        </w:rPr>
        <w:t xml:space="preserve"> (dalej też: </w:t>
      </w:r>
      <w:r w:rsidR="000C01B7">
        <w:rPr>
          <w:rFonts w:ascii="Times New Roman" w:hAnsi="Times New Roman" w:cs="Times New Roman"/>
          <w:color w:val="000000"/>
          <w:sz w:val="24"/>
          <w:szCs w:val="24"/>
        </w:rPr>
        <w:t xml:space="preserve">sąd, </w:t>
      </w:r>
      <w:r w:rsidR="00601959">
        <w:rPr>
          <w:rFonts w:ascii="Times New Roman" w:hAnsi="Times New Roman" w:cs="Times New Roman"/>
          <w:color w:val="000000"/>
          <w:sz w:val="24"/>
          <w:szCs w:val="24"/>
        </w:rPr>
        <w:t>SA, sąd polubowny)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35E7F">
        <w:rPr>
          <w:rFonts w:ascii="Times New Roman" w:hAnsi="Times New Roman" w:cs="Times New Roman"/>
          <w:color w:val="000000"/>
          <w:sz w:val="24"/>
          <w:szCs w:val="24"/>
        </w:rPr>
        <w:t xml:space="preserve"> Dodatkowo art. 8 </w:t>
      </w:r>
      <w:r w:rsidR="00311111" w:rsidRPr="00311111">
        <w:rPr>
          <w:rFonts w:ascii="Times New Roman" w:hAnsi="Times New Roman" w:cs="Times New Roman"/>
        </w:rPr>
        <w:t xml:space="preserve">Regulaminu Sądu Arbitrażowego </w:t>
      </w:r>
      <w:r w:rsidR="00311111">
        <w:rPr>
          <w:rFonts w:ascii="Times New Roman" w:hAnsi="Times New Roman" w:cs="Times New Roman"/>
          <w:sz w:val="24"/>
          <w:szCs w:val="24"/>
        </w:rPr>
        <w:t>podkreśla, że w każdym</w:t>
      </w:r>
      <w:r w:rsidR="00311111" w:rsidRPr="00311111">
        <w:rPr>
          <w:rFonts w:ascii="Times New Roman" w:hAnsi="Times New Roman" w:cs="Times New Roman"/>
          <w:sz w:val="24"/>
          <w:szCs w:val="24"/>
        </w:rPr>
        <w:t xml:space="preserve"> wypadku Zespół Orzekający bierze pod uwagę postanowienia umowy oraz panujące zwyczaje mające zastosowa</w:t>
      </w:r>
      <w:r w:rsidR="00601959">
        <w:rPr>
          <w:rFonts w:ascii="Times New Roman" w:hAnsi="Times New Roman" w:cs="Times New Roman"/>
          <w:sz w:val="24"/>
          <w:szCs w:val="24"/>
        </w:rPr>
        <w:t>nie do danego stosunku prawnego</w:t>
      </w:r>
      <w:r w:rsidR="009D7094">
        <w:rPr>
          <w:rFonts w:ascii="Times New Roman" w:hAnsi="Times New Roman" w:cs="Times New Roman"/>
          <w:sz w:val="24"/>
          <w:szCs w:val="24"/>
        </w:rPr>
        <w:t>.</w:t>
      </w:r>
      <w:r w:rsidR="00601959">
        <w:rPr>
          <w:rFonts w:ascii="Times New Roman" w:hAnsi="Times New Roman" w:cs="Times New Roman"/>
          <w:sz w:val="24"/>
          <w:szCs w:val="24"/>
        </w:rPr>
        <w:t xml:space="preserve"> </w:t>
      </w:r>
      <w:r w:rsidR="00601959">
        <w:rPr>
          <w:rFonts w:ascii="Times New Roman" w:hAnsi="Times New Roman" w:cs="Times New Roman"/>
          <w:color w:val="000000"/>
          <w:sz w:val="24"/>
          <w:szCs w:val="24"/>
        </w:rPr>
        <w:t>Wnosząc zatem spór przed s</w:t>
      </w:r>
      <w:r w:rsidR="00F60D27">
        <w:rPr>
          <w:rFonts w:ascii="Times New Roman" w:hAnsi="Times New Roman" w:cs="Times New Roman"/>
          <w:color w:val="000000"/>
          <w:sz w:val="24"/>
          <w:szCs w:val="24"/>
        </w:rPr>
        <w:t>ąd</w:t>
      </w:r>
      <w:r w:rsidR="00387287">
        <w:rPr>
          <w:rFonts w:ascii="Times New Roman" w:hAnsi="Times New Roman" w:cs="Times New Roman"/>
          <w:color w:val="000000"/>
          <w:sz w:val="24"/>
          <w:szCs w:val="24"/>
        </w:rPr>
        <w:t>em</w:t>
      </w:r>
      <w:r w:rsidR="00601959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7A7501">
        <w:rPr>
          <w:rFonts w:ascii="Times New Roman" w:hAnsi="Times New Roman" w:cs="Times New Roman"/>
          <w:color w:val="000000"/>
          <w:sz w:val="24"/>
          <w:szCs w:val="24"/>
        </w:rPr>
        <w:t>rbitrażowy</w:t>
      </w:r>
      <w:r w:rsidR="00D10B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0D27">
        <w:rPr>
          <w:rFonts w:ascii="Times New Roman" w:hAnsi="Times New Roman" w:cs="Times New Roman"/>
          <w:color w:val="000000"/>
          <w:sz w:val="24"/>
          <w:szCs w:val="24"/>
        </w:rPr>
        <w:t xml:space="preserve">zarząd Beta S.A. naraża się </w:t>
      </w:r>
      <w:r w:rsidR="00D056A8">
        <w:rPr>
          <w:rFonts w:ascii="Times New Roman" w:hAnsi="Times New Roman" w:cs="Times New Roman"/>
          <w:color w:val="000000"/>
          <w:sz w:val="24"/>
          <w:szCs w:val="24"/>
        </w:rPr>
        <w:t>na zarzut</w:t>
      </w:r>
      <w:r w:rsidR="00F60D27">
        <w:rPr>
          <w:rFonts w:ascii="Times New Roman" w:hAnsi="Times New Roman" w:cs="Times New Roman"/>
          <w:color w:val="000000"/>
          <w:sz w:val="24"/>
          <w:szCs w:val="24"/>
        </w:rPr>
        <w:t xml:space="preserve"> nieprzestrzegania zapisów umownych co przy uwzględnieniu przez SA będzie oznaczało naruszenie zasady </w:t>
      </w:r>
      <w:r w:rsidR="00F60D2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pacta </w:t>
      </w:r>
      <w:proofErr w:type="spellStart"/>
      <w:r w:rsidR="00F60D27">
        <w:rPr>
          <w:rFonts w:ascii="Times New Roman" w:hAnsi="Times New Roman" w:cs="Times New Roman"/>
          <w:i/>
          <w:color w:val="000000"/>
          <w:sz w:val="24"/>
          <w:szCs w:val="24"/>
        </w:rPr>
        <w:t>sunt</w:t>
      </w:r>
      <w:proofErr w:type="spellEnd"/>
      <w:r w:rsidR="00F60D2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F60D27">
        <w:rPr>
          <w:rFonts w:ascii="Times New Roman" w:hAnsi="Times New Roman" w:cs="Times New Roman"/>
          <w:i/>
          <w:color w:val="000000"/>
          <w:sz w:val="24"/>
          <w:szCs w:val="24"/>
        </w:rPr>
        <w:t>serv</w:t>
      </w:r>
      <w:r w:rsidR="00F60D27" w:rsidRPr="00F60D27">
        <w:rPr>
          <w:rFonts w:ascii="Times New Roman" w:hAnsi="Times New Roman" w:cs="Times New Roman"/>
          <w:i/>
          <w:color w:val="000000"/>
          <w:sz w:val="24"/>
          <w:szCs w:val="24"/>
        </w:rPr>
        <w:t>anda</w:t>
      </w:r>
      <w:proofErr w:type="spellEnd"/>
      <w:r w:rsidR="00F60D2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10BB8">
        <w:rPr>
          <w:rFonts w:ascii="Times New Roman" w:hAnsi="Times New Roman" w:cs="Times New Roman"/>
          <w:color w:val="000000"/>
          <w:sz w:val="24"/>
          <w:szCs w:val="24"/>
        </w:rPr>
        <w:t xml:space="preserve">Należy się także spodziewać podniesienia przez Gamma S.A. innych zarzutów dotyczących </w:t>
      </w:r>
      <w:r w:rsidR="00D10BB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naruszenia zasad postępowania cywilnego z zasadą formalizmu procesowego i równości stron na czele. </w:t>
      </w:r>
    </w:p>
    <w:p w:rsidR="00EC78BA" w:rsidRPr="00601959" w:rsidRDefault="00EC78BA" w:rsidP="00F438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387287" w:rsidRDefault="00D10BB8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Jak słusznie zauważa S. Cieślak 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formalizm stanowi nieodłączną cechę postępowania cywilnego. Nie może więc istnieć postępowanie całkowicie odformalizowane. </w:t>
      </w:r>
      <w:r w:rsidRPr="00D10BB8">
        <w:rPr>
          <w:rFonts w:ascii="Times New Roman" w:eastAsia="MinionPro-Regular" w:hAnsi="Times New Roman" w:cs="Times New Roman"/>
          <w:sz w:val="24"/>
          <w:szCs w:val="24"/>
        </w:rPr>
        <w:t>Formalizm procesowy gwarantuje przewidywalność postępowania toczącego się przed sądem</w:t>
      </w:r>
      <w:r>
        <w:rPr>
          <w:rFonts w:ascii="Times New Roman" w:eastAsia="MinionPro-Regular" w:hAnsi="Times New Roman" w:cs="Times New Roman"/>
          <w:sz w:val="24"/>
          <w:szCs w:val="24"/>
        </w:rPr>
        <w:t>.</w:t>
      </w:r>
      <w:r>
        <w:rPr>
          <w:rStyle w:val="Odwoanieprzypisudolnego"/>
          <w:rFonts w:ascii="Times New Roman" w:eastAsia="MinionPro-Regular" w:hAnsi="Times New Roman" w:cs="Times New Roman"/>
          <w:sz w:val="24"/>
          <w:szCs w:val="24"/>
        </w:rPr>
        <w:footnoteReference w:id="3"/>
      </w:r>
      <w:r w:rsidR="0045744F">
        <w:rPr>
          <w:rFonts w:ascii="Times New Roman" w:eastAsia="MinionPro-Regular" w:hAnsi="Times New Roman" w:cs="Times New Roman"/>
          <w:sz w:val="24"/>
          <w:szCs w:val="24"/>
        </w:rPr>
        <w:t xml:space="preserve"> Realizacja tego postulatu gwar</w:t>
      </w:r>
      <w:r w:rsidR="00D056A8">
        <w:rPr>
          <w:rFonts w:ascii="Times New Roman" w:eastAsia="MinionPro-Regular" w:hAnsi="Times New Roman" w:cs="Times New Roman"/>
          <w:sz w:val="24"/>
          <w:szCs w:val="24"/>
        </w:rPr>
        <w:t xml:space="preserve">antuje stabilność postępowania. </w:t>
      </w:r>
      <w:r w:rsidR="0045744F">
        <w:rPr>
          <w:rFonts w:ascii="Times New Roman" w:eastAsia="MinionPro-Regular" w:hAnsi="Times New Roman" w:cs="Times New Roman"/>
          <w:sz w:val="24"/>
          <w:szCs w:val="24"/>
        </w:rPr>
        <w:t>Oczywiści</w:t>
      </w:r>
      <w:r w:rsidR="00E35E7F">
        <w:rPr>
          <w:rFonts w:ascii="Times New Roman" w:eastAsia="MinionPro-Regular" w:hAnsi="Times New Roman" w:cs="Times New Roman"/>
          <w:sz w:val="24"/>
          <w:szCs w:val="24"/>
        </w:rPr>
        <w:t>e</w:t>
      </w:r>
      <w:r w:rsidR="0045744F">
        <w:rPr>
          <w:rFonts w:ascii="Times New Roman" w:eastAsia="MinionPro-Regular" w:hAnsi="Times New Roman" w:cs="Times New Roman"/>
          <w:sz w:val="24"/>
          <w:szCs w:val="24"/>
        </w:rPr>
        <w:t xml:space="preserve"> postępowanie polubowne może być bardziej lub mniej odformalizowane jednak to do stron należy</w:t>
      </w:r>
      <w:r w:rsidR="00E35E7F">
        <w:rPr>
          <w:rFonts w:ascii="Times New Roman" w:eastAsia="MinionPro-Regular" w:hAnsi="Times New Roman" w:cs="Times New Roman"/>
          <w:sz w:val="24"/>
          <w:szCs w:val="24"/>
        </w:rPr>
        <w:t xml:space="preserve"> określenie jego intensywności, a skierowanie sprawy bezpośrednio do SA będzie stało w jawnej sprzeczności z tą zasadą.</w:t>
      </w:r>
    </w:p>
    <w:p w:rsidR="00EC78BA" w:rsidRDefault="00EC78BA" w:rsidP="00F00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D10BB8" w:rsidRDefault="00387287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Naruszenie </w:t>
      </w:r>
      <w:r w:rsidR="00601959">
        <w:rPr>
          <w:rFonts w:ascii="Times New Roman" w:eastAsia="MinionPro-Regular" w:hAnsi="Times New Roman" w:cs="Times New Roman"/>
          <w:sz w:val="24"/>
          <w:szCs w:val="24"/>
        </w:rPr>
        <w:t>ww</w:t>
      </w:r>
      <w:r w:rsidR="00E35E7F">
        <w:rPr>
          <w:rFonts w:ascii="Times New Roman" w:eastAsia="MinionPro-Regular" w:hAnsi="Times New Roman" w:cs="Times New Roman"/>
          <w:sz w:val="24"/>
          <w:szCs w:val="24"/>
        </w:rPr>
        <w:t>.</w:t>
      </w:r>
      <w:r w:rsidR="00601959">
        <w:rPr>
          <w:rFonts w:ascii="Times New Roman" w:eastAsia="MinionPro-Regular" w:hAnsi="Times New Roman" w:cs="Times New Roman"/>
          <w:sz w:val="24"/>
          <w:szCs w:val="24"/>
        </w:rPr>
        <w:t xml:space="preserve"> zasady</w:t>
      </w:r>
      <w:r w:rsidR="00D056A8">
        <w:rPr>
          <w:rFonts w:ascii="Times New Roman" w:eastAsia="MinionPro-Regular" w:hAnsi="Times New Roman" w:cs="Times New Roman"/>
          <w:sz w:val="24"/>
          <w:szCs w:val="24"/>
        </w:rPr>
        <w:t xml:space="preserve"> skutkować będzie w konsekwencji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E35E7F">
        <w:rPr>
          <w:rFonts w:ascii="Times New Roman" w:eastAsia="MinionPro-Regular" w:hAnsi="Times New Roman" w:cs="Times New Roman"/>
          <w:sz w:val="24"/>
          <w:szCs w:val="24"/>
        </w:rPr>
        <w:t xml:space="preserve">także </w:t>
      </w:r>
      <w:r>
        <w:rPr>
          <w:rFonts w:ascii="Times New Roman" w:eastAsia="MinionPro-Regular" w:hAnsi="Times New Roman" w:cs="Times New Roman"/>
          <w:sz w:val="24"/>
          <w:szCs w:val="24"/>
        </w:rPr>
        <w:t>naruszeniem zasady równości stron. Wydaje się być oczywiste, że złamanie zasad procedury skutkować będzie za</w:t>
      </w:r>
      <w:r w:rsidR="00D056A8">
        <w:rPr>
          <w:rFonts w:ascii="Times New Roman" w:eastAsia="MinionPro-Regular" w:hAnsi="Times New Roman" w:cs="Times New Roman"/>
          <w:sz w:val="24"/>
          <w:szCs w:val="24"/>
        </w:rPr>
        <w:t xml:space="preserve">chwianiem równości stron sporu. </w:t>
      </w:r>
      <w:r w:rsidR="00545BB0">
        <w:rPr>
          <w:rFonts w:ascii="Times New Roman" w:eastAsia="MinionPro-Regular" w:hAnsi="Times New Roman" w:cs="Times New Roman"/>
          <w:sz w:val="24"/>
          <w:szCs w:val="24"/>
        </w:rPr>
        <w:t>Zaletą zasady równości stron jest przewidywalność następstw prawnych działań podejmowanych przez strony</w:t>
      </w:r>
      <w:r w:rsidR="00E35E7F">
        <w:rPr>
          <w:rFonts w:ascii="Times New Roman" w:eastAsia="MinionPro-Regular" w:hAnsi="Times New Roman" w:cs="Times New Roman"/>
          <w:sz w:val="24"/>
          <w:szCs w:val="24"/>
        </w:rPr>
        <w:t>. Wnosząc spór bezpośrednio do sądu p</w:t>
      </w:r>
      <w:r w:rsidR="00545BB0">
        <w:rPr>
          <w:rFonts w:ascii="Times New Roman" w:eastAsia="MinionPro-Regular" w:hAnsi="Times New Roman" w:cs="Times New Roman"/>
          <w:sz w:val="24"/>
          <w:szCs w:val="24"/>
        </w:rPr>
        <w:t xml:space="preserve">olubownego Gamma S.A zostaje pozbawiona tej pewności czym naruszona </w:t>
      </w:r>
      <w:r w:rsidR="00BD55BC">
        <w:rPr>
          <w:rFonts w:ascii="Times New Roman" w:eastAsia="MinionPro-Regular" w:hAnsi="Times New Roman" w:cs="Times New Roman"/>
          <w:sz w:val="24"/>
          <w:szCs w:val="24"/>
        </w:rPr>
        <w:t>zostaje ta zasada</w:t>
      </w:r>
      <w:r w:rsidR="00601959">
        <w:rPr>
          <w:rFonts w:ascii="Times New Roman" w:eastAsia="MinionPro-Regular" w:hAnsi="Times New Roman" w:cs="Times New Roman"/>
          <w:sz w:val="24"/>
          <w:szCs w:val="24"/>
        </w:rPr>
        <w:t>.</w:t>
      </w:r>
    </w:p>
    <w:p w:rsidR="00C76924" w:rsidRDefault="00C76924" w:rsidP="00F00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C76924" w:rsidRDefault="00545BB0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W związku z powyższym należy zaznaczyć, że </w:t>
      </w:r>
      <w:r w:rsidRPr="00F22FCA">
        <w:rPr>
          <w:rFonts w:ascii="Times New Roman" w:eastAsia="MinionPro-Regular" w:hAnsi="Times New Roman" w:cs="Times New Roman"/>
          <w:sz w:val="24"/>
          <w:szCs w:val="24"/>
        </w:rPr>
        <w:t xml:space="preserve">wszczęcie postępowania </w:t>
      </w:r>
      <w:r w:rsidR="00E35E7F" w:rsidRPr="00F22FCA">
        <w:rPr>
          <w:rFonts w:ascii="Times New Roman" w:eastAsia="MinionPro-Regular" w:hAnsi="Times New Roman" w:cs="Times New Roman"/>
          <w:sz w:val="24"/>
          <w:szCs w:val="24"/>
        </w:rPr>
        <w:t>polubownego bezpośrednio przed sądem a</w:t>
      </w:r>
      <w:r w:rsidRPr="00F22FCA">
        <w:rPr>
          <w:rFonts w:ascii="Times New Roman" w:eastAsia="MinionPro-Regular" w:hAnsi="Times New Roman" w:cs="Times New Roman"/>
          <w:sz w:val="24"/>
          <w:szCs w:val="24"/>
        </w:rPr>
        <w:t>rbitrażowym może skutkować zawieszeniem postępowania z urzędu</w:t>
      </w:r>
      <w:r>
        <w:rPr>
          <w:rFonts w:ascii="Times New Roman" w:eastAsia="MinionPro-Regular" w:hAnsi="Times New Roman" w:cs="Times New Roman"/>
          <w:sz w:val="24"/>
          <w:szCs w:val="24"/>
        </w:rPr>
        <w:t xml:space="preserve"> (zgodnie z art. </w:t>
      </w:r>
      <w:r w:rsidRPr="00545BB0">
        <w:rPr>
          <w:rFonts w:ascii="Times New Roman" w:hAnsi="Times New Roman" w:cs="Times New Roman"/>
          <w:bCs/>
          <w:color w:val="000000"/>
          <w:sz w:val="24"/>
          <w:szCs w:val="24"/>
        </w:rPr>
        <w:t>§ 35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Regulaminu Sądu Arbitrażowego)</w:t>
      </w:r>
      <w:r w:rsidR="0061253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Sąd może uznać zarzuty Gamma S.A. i żądać uczynieniu zadość zasadzie </w:t>
      </w:r>
      <w:r w:rsidR="0061253E" w:rsidRPr="0061253E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pacta </w:t>
      </w:r>
      <w:proofErr w:type="spellStart"/>
      <w:r w:rsidR="0061253E" w:rsidRPr="0061253E">
        <w:rPr>
          <w:rFonts w:ascii="Times New Roman" w:hAnsi="Times New Roman" w:cs="Times New Roman"/>
          <w:bCs/>
          <w:i/>
          <w:color w:val="000000"/>
          <w:sz w:val="24"/>
          <w:szCs w:val="24"/>
        </w:rPr>
        <w:t>sunt</w:t>
      </w:r>
      <w:proofErr w:type="spellEnd"/>
      <w:r w:rsidR="0061253E" w:rsidRPr="0061253E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61253E" w:rsidRPr="0061253E">
        <w:rPr>
          <w:rFonts w:ascii="Times New Roman" w:hAnsi="Times New Roman" w:cs="Times New Roman"/>
          <w:bCs/>
          <w:i/>
          <w:color w:val="000000"/>
          <w:sz w:val="24"/>
          <w:szCs w:val="24"/>
        </w:rPr>
        <w:t>servanda</w:t>
      </w:r>
      <w:proofErr w:type="spellEnd"/>
      <w:r w:rsidR="0061253E">
        <w:rPr>
          <w:rFonts w:ascii="Times New Roman" w:hAnsi="Times New Roman" w:cs="Times New Roman"/>
          <w:bCs/>
          <w:color w:val="000000"/>
          <w:sz w:val="24"/>
          <w:szCs w:val="24"/>
        </w:rPr>
        <w:t>, formalizmu procesowego i zasadzie równości.</w:t>
      </w:r>
    </w:p>
    <w:p w:rsidR="00EC78BA" w:rsidRDefault="00EC78BA" w:rsidP="00F00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D6F96" w:rsidRDefault="00C76924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Jakkolwiek, naruszenie tych zasad nie musi </w:t>
      </w:r>
      <w:r w:rsidR="000B36A4">
        <w:rPr>
          <w:rFonts w:ascii="Times New Roman" w:hAnsi="Times New Roman" w:cs="Times New Roman"/>
          <w:sz w:val="24"/>
          <w:szCs w:val="24"/>
        </w:rPr>
        <w:t xml:space="preserve">wywołać zawieszenia postępowania </w:t>
      </w:r>
      <w:r>
        <w:rPr>
          <w:rFonts w:ascii="Times New Roman" w:hAnsi="Times New Roman" w:cs="Times New Roman"/>
          <w:sz w:val="24"/>
          <w:szCs w:val="24"/>
        </w:rPr>
        <w:t xml:space="preserve">przed sądem arbitrażowym. Kryterium rozstrzygającym o skuteczności zarzutów Gamma S.A. będzie wpływ naruszeń na decyzję sądu polubownego. </w:t>
      </w:r>
      <w:r w:rsidR="00C368EA">
        <w:rPr>
          <w:rFonts w:ascii="Times New Roman" w:hAnsi="Times New Roman" w:cs="Times New Roman"/>
          <w:sz w:val="24"/>
          <w:szCs w:val="24"/>
        </w:rPr>
        <w:t xml:space="preserve">Jeśli ewentualne naruszenie nie ma wpływu na decyzję sądu arbitrażowego, naruszenie takie nie może być traktowane jako naruszenie podstawowych zasad postępowania. </w:t>
      </w:r>
      <w:r w:rsidR="00BB21CD">
        <w:rPr>
          <w:rFonts w:ascii="Times New Roman" w:hAnsi="Times New Roman" w:cs="Times New Roman"/>
          <w:sz w:val="24"/>
          <w:szCs w:val="24"/>
        </w:rPr>
        <w:t>Takie też wnioski można wysnuć z</w:t>
      </w:r>
      <w:r w:rsidR="006B40D7">
        <w:rPr>
          <w:rFonts w:ascii="Times New Roman" w:hAnsi="Times New Roman" w:cs="Times New Roman"/>
          <w:sz w:val="24"/>
          <w:szCs w:val="24"/>
        </w:rPr>
        <w:t xml:space="preserve"> zasady autonomii woli stron </w:t>
      </w:r>
      <w:r w:rsidR="00BB21CD">
        <w:rPr>
          <w:rFonts w:ascii="Times New Roman" w:hAnsi="Times New Roman" w:cs="Times New Roman"/>
          <w:sz w:val="24"/>
          <w:szCs w:val="24"/>
        </w:rPr>
        <w:t>z której</w:t>
      </w:r>
      <w:r w:rsidR="000D6F96">
        <w:rPr>
          <w:rFonts w:ascii="Times New Roman" w:hAnsi="Times New Roman" w:cs="Times New Roman"/>
          <w:sz w:val="24"/>
          <w:szCs w:val="24"/>
        </w:rPr>
        <w:t xml:space="preserve"> </w:t>
      </w:r>
      <w:r w:rsidR="006B40D7">
        <w:rPr>
          <w:rFonts w:ascii="Times New Roman" w:hAnsi="Times New Roman" w:cs="Times New Roman"/>
          <w:sz w:val="24"/>
          <w:szCs w:val="24"/>
        </w:rPr>
        <w:t>wynika</w:t>
      </w:r>
      <w:r w:rsidR="008C07D5">
        <w:rPr>
          <w:rFonts w:ascii="Times New Roman" w:hAnsi="Times New Roman" w:cs="Times New Roman"/>
          <w:sz w:val="24"/>
          <w:szCs w:val="24"/>
        </w:rPr>
        <w:t>ć</w:t>
      </w:r>
      <w:r w:rsidR="00A9296B">
        <w:rPr>
          <w:rFonts w:ascii="Times New Roman" w:hAnsi="Times New Roman" w:cs="Times New Roman"/>
          <w:sz w:val="24"/>
          <w:szCs w:val="24"/>
        </w:rPr>
        <w:t xml:space="preserve"> </w:t>
      </w:r>
      <w:r w:rsidR="00BB21CD">
        <w:rPr>
          <w:rFonts w:ascii="Times New Roman" w:hAnsi="Times New Roman" w:cs="Times New Roman"/>
          <w:sz w:val="24"/>
          <w:szCs w:val="24"/>
        </w:rPr>
        <w:t xml:space="preserve">powinna </w:t>
      </w:r>
      <w:r w:rsidR="006B40D7">
        <w:rPr>
          <w:rFonts w:ascii="Times New Roman" w:hAnsi="Times New Roman" w:cs="Times New Roman"/>
          <w:sz w:val="24"/>
          <w:szCs w:val="24"/>
        </w:rPr>
        <w:t>większa elastyczność i mniejsze sformalizowanie postępo</w:t>
      </w:r>
      <w:r w:rsidR="009B59D4">
        <w:rPr>
          <w:rFonts w:ascii="Times New Roman" w:hAnsi="Times New Roman" w:cs="Times New Roman"/>
          <w:sz w:val="24"/>
          <w:szCs w:val="24"/>
        </w:rPr>
        <w:t>wania arbitrażowego (polubownego</w:t>
      </w:r>
      <w:r w:rsidR="006B40D7">
        <w:rPr>
          <w:rFonts w:ascii="Times New Roman" w:hAnsi="Times New Roman" w:cs="Times New Roman"/>
          <w:sz w:val="24"/>
          <w:szCs w:val="24"/>
        </w:rPr>
        <w:t>)</w:t>
      </w:r>
      <w:r w:rsidR="008C07D5">
        <w:rPr>
          <w:rFonts w:ascii="Times New Roman" w:hAnsi="Times New Roman" w:cs="Times New Roman"/>
          <w:sz w:val="24"/>
          <w:szCs w:val="24"/>
        </w:rPr>
        <w:t>, jakkolwiek celem i cechą postępowania arbitrażowego jest jego szybkość i prostota.</w:t>
      </w:r>
      <w:r w:rsidR="00DB083B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4"/>
      </w:r>
      <w:r w:rsidR="008C07D5">
        <w:rPr>
          <w:rFonts w:ascii="Times New Roman" w:hAnsi="Times New Roman" w:cs="Times New Roman"/>
          <w:sz w:val="24"/>
          <w:szCs w:val="24"/>
        </w:rPr>
        <w:t xml:space="preserve"> </w:t>
      </w:r>
      <w:r w:rsidR="0056594F">
        <w:rPr>
          <w:rFonts w:ascii="Times New Roman" w:eastAsia="MinionPro-Regular" w:hAnsi="Times New Roman" w:cs="Times New Roman"/>
          <w:sz w:val="24"/>
          <w:szCs w:val="24"/>
        </w:rPr>
        <w:t>I o ile wola stron jest</w:t>
      </w:r>
      <w:r w:rsidR="00E35E7F">
        <w:rPr>
          <w:rFonts w:ascii="Times New Roman" w:eastAsia="MinionPro-Regular" w:hAnsi="Times New Roman" w:cs="Times New Roman"/>
          <w:sz w:val="24"/>
          <w:szCs w:val="24"/>
        </w:rPr>
        <w:t xml:space="preserve"> decydująca </w:t>
      </w:r>
      <w:r w:rsidR="00BB21CD">
        <w:rPr>
          <w:rFonts w:ascii="Times New Roman" w:eastAsia="MinionPro-Regular" w:hAnsi="Times New Roman" w:cs="Times New Roman"/>
          <w:sz w:val="24"/>
          <w:szCs w:val="24"/>
        </w:rPr>
        <w:t xml:space="preserve">jeśli chodzi o regulacje zawarte w umowie </w:t>
      </w:r>
      <w:r w:rsidR="00E35E7F">
        <w:rPr>
          <w:rFonts w:ascii="Times New Roman" w:eastAsia="MinionPro-Regular" w:hAnsi="Times New Roman" w:cs="Times New Roman"/>
          <w:sz w:val="24"/>
          <w:szCs w:val="24"/>
        </w:rPr>
        <w:t>to należy zaznaczyć</w:t>
      </w:r>
      <w:r w:rsidR="0056594F">
        <w:rPr>
          <w:rFonts w:ascii="Times New Roman" w:eastAsia="MinionPro-Regular" w:hAnsi="Times New Roman" w:cs="Times New Roman"/>
          <w:sz w:val="24"/>
          <w:szCs w:val="24"/>
        </w:rPr>
        <w:t>, że arbitrzy powinni zadbać by postępowania polubowne spełniało swoje podstawowe funkcje</w:t>
      </w:r>
      <w:r w:rsidR="00E84F37">
        <w:rPr>
          <w:rFonts w:ascii="Times New Roman" w:eastAsia="MinionPro-Regular" w:hAnsi="Times New Roman" w:cs="Times New Roman"/>
          <w:sz w:val="24"/>
          <w:szCs w:val="24"/>
        </w:rPr>
        <w:t>.</w:t>
      </w:r>
      <w:r w:rsidR="009B59D4">
        <w:rPr>
          <w:rFonts w:ascii="Times New Roman" w:eastAsia="MinionPro-Regular" w:hAnsi="Times New Roman" w:cs="Times New Roman"/>
          <w:sz w:val="24"/>
          <w:szCs w:val="24"/>
        </w:rPr>
        <w:t xml:space="preserve"> Wyrazem tego jest chociażby art. 8 Kodeksu Etyki Arbitra, który stanowi, że </w:t>
      </w:r>
      <w:r w:rsidR="0061183A">
        <w:rPr>
          <w:rFonts w:ascii="Times New Roman" w:hAnsi="Times New Roman" w:cs="Times New Roman"/>
          <w:sz w:val="24"/>
          <w:szCs w:val="24"/>
        </w:rPr>
        <w:t>a</w:t>
      </w:r>
      <w:r w:rsidR="009B59D4" w:rsidRPr="009B59D4">
        <w:rPr>
          <w:rFonts w:ascii="Times New Roman" w:hAnsi="Times New Roman" w:cs="Times New Roman"/>
          <w:sz w:val="24"/>
          <w:szCs w:val="24"/>
        </w:rPr>
        <w:t>rbite</w:t>
      </w:r>
      <w:r w:rsidR="009B59D4">
        <w:rPr>
          <w:rFonts w:ascii="Times New Roman" w:hAnsi="Times New Roman" w:cs="Times New Roman"/>
          <w:sz w:val="24"/>
          <w:szCs w:val="24"/>
        </w:rPr>
        <w:t xml:space="preserve">r będzie prowadzić postępowanie </w:t>
      </w:r>
      <w:r w:rsidR="009B59D4" w:rsidRPr="009B59D4">
        <w:rPr>
          <w:rFonts w:ascii="Times New Roman" w:hAnsi="Times New Roman" w:cs="Times New Roman"/>
          <w:sz w:val="24"/>
          <w:szCs w:val="24"/>
        </w:rPr>
        <w:t>starannie i sprawnie, rze</w:t>
      </w:r>
      <w:r w:rsidR="009B59D4">
        <w:rPr>
          <w:rFonts w:ascii="Times New Roman" w:hAnsi="Times New Roman" w:cs="Times New Roman"/>
          <w:sz w:val="24"/>
          <w:szCs w:val="24"/>
        </w:rPr>
        <w:t xml:space="preserve">telnie oceniać stan sprawy oraz że </w:t>
      </w:r>
      <w:r w:rsidR="009B59D4" w:rsidRPr="009B59D4">
        <w:rPr>
          <w:rFonts w:ascii="Times New Roman" w:hAnsi="Times New Roman" w:cs="Times New Roman"/>
          <w:sz w:val="24"/>
          <w:szCs w:val="24"/>
        </w:rPr>
        <w:t>doprowadzi do zakończenia sprawy tak szybko, jak to jest możliwe</w:t>
      </w:r>
      <w:r w:rsidR="009B59D4">
        <w:rPr>
          <w:rFonts w:ascii="Times New Roman" w:hAnsi="Times New Roman" w:cs="Times New Roman"/>
          <w:sz w:val="24"/>
          <w:szCs w:val="24"/>
        </w:rPr>
        <w:t>.</w:t>
      </w:r>
      <w:r w:rsidR="009B59D4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5"/>
      </w:r>
      <w:r w:rsidR="009B59D4">
        <w:rPr>
          <w:rFonts w:ascii="Times New Roman" w:hAnsi="Times New Roman" w:cs="Times New Roman"/>
          <w:sz w:val="24"/>
          <w:szCs w:val="24"/>
        </w:rPr>
        <w:t xml:space="preserve"> Powyższa reguła jest tzw. </w:t>
      </w:r>
      <w:r w:rsidR="009B59D4" w:rsidRPr="00B430B6">
        <w:rPr>
          <w:rFonts w:ascii="Times New Roman" w:hAnsi="Times New Roman" w:cs="Times New Roman"/>
          <w:i/>
          <w:sz w:val="24"/>
          <w:szCs w:val="24"/>
        </w:rPr>
        <w:t>soft law</w:t>
      </w:r>
      <w:r w:rsidR="009B59D4">
        <w:rPr>
          <w:rFonts w:ascii="Times New Roman" w:hAnsi="Times New Roman" w:cs="Times New Roman"/>
          <w:sz w:val="24"/>
          <w:szCs w:val="24"/>
        </w:rPr>
        <w:t xml:space="preserve"> czyli nie ma charakt</w:t>
      </w:r>
      <w:r w:rsidR="00B430B6">
        <w:rPr>
          <w:rFonts w:ascii="Times New Roman" w:hAnsi="Times New Roman" w:cs="Times New Roman"/>
          <w:sz w:val="24"/>
          <w:szCs w:val="24"/>
        </w:rPr>
        <w:t>eru wiążącego jednak nie można</w:t>
      </w:r>
      <w:r w:rsidR="00BD55BC">
        <w:rPr>
          <w:rFonts w:ascii="Times New Roman" w:hAnsi="Times New Roman" w:cs="Times New Roman"/>
          <w:sz w:val="24"/>
          <w:szCs w:val="24"/>
        </w:rPr>
        <w:t xml:space="preserve"> jej zupełnie bagatelizować</w:t>
      </w:r>
      <w:r w:rsidR="00B430B6">
        <w:rPr>
          <w:rFonts w:ascii="Times New Roman" w:hAnsi="Times New Roman" w:cs="Times New Roman"/>
          <w:sz w:val="24"/>
          <w:szCs w:val="24"/>
        </w:rPr>
        <w:t xml:space="preserve">. Arbiter (w świetle art. 10 Kodeksu Etyki Arbitra), który nie stosuje się do zasad Kodeksu </w:t>
      </w:r>
      <w:r w:rsidR="00BB21CD">
        <w:rPr>
          <w:rFonts w:ascii="Times New Roman" w:hAnsi="Times New Roman" w:cs="Times New Roman"/>
          <w:sz w:val="24"/>
          <w:szCs w:val="24"/>
        </w:rPr>
        <w:t xml:space="preserve">Etyki Arbitra </w:t>
      </w:r>
      <w:r w:rsidR="000D6F96">
        <w:rPr>
          <w:rFonts w:ascii="Times New Roman" w:hAnsi="Times New Roman" w:cs="Times New Roman"/>
          <w:sz w:val="24"/>
          <w:szCs w:val="24"/>
        </w:rPr>
        <w:t>naraża się na poważne reperkusje</w:t>
      </w:r>
      <w:r w:rsidR="00B430B6">
        <w:rPr>
          <w:rFonts w:ascii="Times New Roman" w:hAnsi="Times New Roman" w:cs="Times New Roman"/>
          <w:sz w:val="24"/>
          <w:szCs w:val="24"/>
        </w:rPr>
        <w:t>, z wykreśleniem z „Listy Arbitrów” włącznie.</w:t>
      </w:r>
      <w:r w:rsidR="00B430B6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6"/>
      </w:r>
      <w:r w:rsidR="000D6F96">
        <w:rPr>
          <w:rFonts w:ascii="Times New Roman" w:hAnsi="Times New Roman" w:cs="Times New Roman"/>
          <w:sz w:val="24"/>
          <w:szCs w:val="24"/>
        </w:rPr>
        <w:t xml:space="preserve"> W związku z powyższym </w:t>
      </w:r>
      <w:r w:rsidR="000C01B7">
        <w:rPr>
          <w:rFonts w:ascii="Times New Roman" w:hAnsi="Times New Roman" w:cs="Times New Roman"/>
          <w:sz w:val="24"/>
          <w:szCs w:val="24"/>
        </w:rPr>
        <w:t>sąd a</w:t>
      </w:r>
      <w:r w:rsidR="009F4750">
        <w:rPr>
          <w:rFonts w:ascii="Times New Roman" w:hAnsi="Times New Roman" w:cs="Times New Roman"/>
          <w:sz w:val="24"/>
          <w:szCs w:val="24"/>
        </w:rPr>
        <w:t xml:space="preserve">rbitrażowy może uznać, że </w:t>
      </w:r>
      <w:r w:rsidR="00913EA4">
        <w:rPr>
          <w:rFonts w:ascii="Times New Roman" w:hAnsi="Times New Roman" w:cs="Times New Roman"/>
          <w:sz w:val="24"/>
          <w:szCs w:val="24"/>
        </w:rPr>
        <w:t xml:space="preserve">kierowanie sprawy do rozpoznania przez Komisję rozjemstwa w sporach stanowić będzie nadmierna sformalizowanie procesu. Sąd może się przychylić do stanowiska Beta S.A. i uznać, że skoro </w:t>
      </w:r>
      <w:r w:rsidR="00847C28">
        <w:rPr>
          <w:rFonts w:ascii="Times New Roman" w:hAnsi="Times New Roman" w:cs="Times New Roman"/>
          <w:sz w:val="24"/>
          <w:szCs w:val="24"/>
        </w:rPr>
        <w:t xml:space="preserve">przedarbitrażowe sposoby rozstrzygania sporów nie mają szans powodzenia, a sprawa swój finał </w:t>
      </w:r>
      <w:r w:rsidR="00E56C4C">
        <w:rPr>
          <w:rFonts w:ascii="Times New Roman" w:hAnsi="Times New Roman" w:cs="Times New Roman"/>
          <w:sz w:val="24"/>
          <w:szCs w:val="24"/>
        </w:rPr>
        <w:t xml:space="preserve">i tak </w:t>
      </w:r>
      <w:r w:rsidR="000C01B7">
        <w:rPr>
          <w:rFonts w:ascii="Times New Roman" w:hAnsi="Times New Roman" w:cs="Times New Roman"/>
          <w:sz w:val="24"/>
          <w:szCs w:val="24"/>
        </w:rPr>
        <w:t xml:space="preserve">znajdzie przed </w:t>
      </w:r>
      <w:r w:rsidR="000C01B7">
        <w:rPr>
          <w:rFonts w:ascii="Times New Roman" w:hAnsi="Times New Roman" w:cs="Times New Roman"/>
          <w:sz w:val="24"/>
          <w:szCs w:val="24"/>
        </w:rPr>
        <w:lastRenderedPageBreak/>
        <w:t>sądem p</w:t>
      </w:r>
      <w:r w:rsidR="00847C28">
        <w:rPr>
          <w:rFonts w:ascii="Times New Roman" w:hAnsi="Times New Roman" w:cs="Times New Roman"/>
          <w:sz w:val="24"/>
          <w:szCs w:val="24"/>
        </w:rPr>
        <w:t>olubownym to zawieszenie postępowania i kierowanie sprawy do Komisji rozjemstwa w sporach będzie w jawnym konflikcie z celem klauzuli arbitrażow</w:t>
      </w:r>
      <w:r w:rsidR="000C01B7">
        <w:rPr>
          <w:rFonts w:ascii="Times New Roman" w:hAnsi="Times New Roman" w:cs="Times New Roman"/>
          <w:sz w:val="24"/>
          <w:szCs w:val="24"/>
        </w:rPr>
        <w:t xml:space="preserve">ej. </w:t>
      </w:r>
    </w:p>
    <w:p w:rsidR="00EC78BA" w:rsidRPr="00F22FCA" w:rsidRDefault="00EC78BA" w:rsidP="00F00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FCA" w:rsidRDefault="00BB21CD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Jak wynika z powyższego z</w:t>
      </w:r>
      <w:r w:rsidR="00F22FCA" w:rsidRPr="00F22FCA">
        <w:rPr>
          <w:rFonts w:ascii="Times New Roman" w:hAnsi="Times New Roman" w:cs="Times New Roman"/>
          <w:b/>
          <w:sz w:val="24"/>
          <w:szCs w:val="24"/>
        </w:rPr>
        <w:t xml:space="preserve">arząd Beta S.A. wnosząc spór bezpośrednio przed sąd arbitrażowy naraża się na zarzut naruszenia podstawowych zasad postępowania uregulowanych w umowie. Ze względu jednak na brak wpływu na ostateczną decyzję sąd arbitrażowy powinien przyjąć taki wniosek do merytorycznego rozpatrzenia. Ewentualna odmowa skutkować będzie zawieszeniem postępowania i wydłużeniem procesu, co jednak nie wpłynie negatywnie na ostateczny wynik postępowania. </w:t>
      </w:r>
    </w:p>
    <w:p w:rsidR="002A23FC" w:rsidRDefault="002A23FC" w:rsidP="00F22F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23FC" w:rsidRDefault="002A23FC" w:rsidP="00F22F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Ad. 2 Skuteczność skargi o uchylenie wyroku sądu polubownego.</w:t>
      </w:r>
    </w:p>
    <w:p w:rsidR="00EC78BA" w:rsidRPr="00F22FCA" w:rsidRDefault="00EC78BA" w:rsidP="00F22F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18DA" w:rsidRDefault="00BD55BC" w:rsidP="004018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Zakładając</w:t>
      </w:r>
      <w:r w:rsidR="000C01B7">
        <w:rPr>
          <w:rFonts w:ascii="Times New Roman" w:hAnsi="Times New Roman" w:cs="Times New Roman"/>
          <w:sz w:val="24"/>
          <w:szCs w:val="24"/>
        </w:rPr>
        <w:t>, że sąd p</w:t>
      </w:r>
      <w:r w:rsidR="00E90172">
        <w:rPr>
          <w:rFonts w:ascii="Times New Roman" w:hAnsi="Times New Roman" w:cs="Times New Roman"/>
          <w:sz w:val="24"/>
          <w:szCs w:val="24"/>
        </w:rPr>
        <w:t xml:space="preserve">olubowny uzna, że niewyczerpanie przedarbitrażowych sposobów rozstrzygania sporów nie stanowi przeszkody do merytorycznego rozpatrzenia sprawy i wyda w sprawie wyrok, zarządowi Gamma S.A. przysługiwała będzie </w:t>
      </w:r>
      <w:r w:rsidR="00662BB7">
        <w:rPr>
          <w:rFonts w:ascii="Times New Roman" w:hAnsi="Times New Roman" w:cs="Times New Roman"/>
          <w:sz w:val="24"/>
          <w:szCs w:val="24"/>
        </w:rPr>
        <w:t xml:space="preserve">skarga o uchylenie wyroku sądu polubownego. </w:t>
      </w:r>
      <w:r w:rsidR="000A6894">
        <w:rPr>
          <w:rFonts w:ascii="Times New Roman" w:hAnsi="Times New Roman" w:cs="Times New Roman"/>
          <w:sz w:val="24"/>
          <w:szCs w:val="24"/>
        </w:rPr>
        <w:t xml:space="preserve">Normatywna regulacja znajduje się w art. </w:t>
      </w:r>
      <w:r w:rsidR="000A6894" w:rsidRPr="000A6894">
        <w:rPr>
          <w:rFonts w:ascii="Times New Roman" w:hAnsi="Times New Roman" w:cs="Times New Roman"/>
          <w:sz w:val="24"/>
          <w:szCs w:val="24"/>
        </w:rPr>
        <w:t xml:space="preserve">1205–1211 k.p.c. </w:t>
      </w:r>
      <w:r w:rsidR="00915CA1" w:rsidRPr="00D843F1">
        <w:rPr>
          <w:rFonts w:ascii="Times New Roman" w:hAnsi="Times New Roman" w:cs="Times New Roman"/>
          <w:sz w:val="24"/>
          <w:szCs w:val="24"/>
        </w:rPr>
        <w:t>W literaturze podkreśla się, że ska</w:t>
      </w:r>
      <w:r w:rsidR="00D843F1">
        <w:rPr>
          <w:rFonts w:ascii="Times New Roman" w:hAnsi="Times New Roman" w:cs="Times New Roman"/>
          <w:sz w:val="24"/>
          <w:szCs w:val="24"/>
        </w:rPr>
        <w:t>rga ta ma charakter kasatoryjny</w:t>
      </w:r>
      <w:r w:rsidR="00D843F1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7"/>
      </w:r>
      <w:r w:rsidR="00D843F1" w:rsidRPr="00D843F1">
        <w:rPr>
          <w:rFonts w:ascii="Times New Roman" w:hAnsi="Times New Roman" w:cs="Times New Roman"/>
          <w:sz w:val="24"/>
          <w:szCs w:val="24"/>
        </w:rPr>
        <w:t xml:space="preserve">, gdyż skutkiem jej uwzględnienia przez sąd państwowy jest uchylenie wyroku sądu polubownego, które może polegać na uchyleniu całościowym lub częściowym. </w:t>
      </w:r>
      <w:r w:rsidR="00A449D9">
        <w:rPr>
          <w:rFonts w:ascii="Times New Roman" w:hAnsi="Times New Roman" w:cs="Times New Roman"/>
          <w:sz w:val="24"/>
          <w:szCs w:val="24"/>
        </w:rPr>
        <w:t xml:space="preserve">Podstawy do uchylenia skargi znajdują się w art. 1206 k.p.c. </w:t>
      </w:r>
      <w:r w:rsidR="004018DA">
        <w:rPr>
          <w:rFonts w:ascii="Times New Roman" w:hAnsi="Times New Roman" w:cs="Times New Roman"/>
          <w:sz w:val="24"/>
          <w:szCs w:val="24"/>
        </w:rPr>
        <w:t>Zarząd Gamma S.A. skargę może oprzeć na dwóch przesłankach: niezachowania wymagań co do podstawowych zasad postępowania i naruszenia podstawowych zasad porządku prawnego Rzeczypospolitej Polskiej.</w:t>
      </w:r>
    </w:p>
    <w:p w:rsidR="004018DA" w:rsidRDefault="004018DA" w:rsidP="00B473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18DA" w:rsidRPr="004018DA" w:rsidRDefault="004018DA" w:rsidP="004018D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8DA">
        <w:rPr>
          <w:rFonts w:ascii="Times New Roman" w:hAnsi="Times New Roman" w:cs="Times New Roman"/>
          <w:b/>
          <w:sz w:val="24"/>
          <w:szCs w:val="24"/>
        </w:rPr>
        <w:t>Niezachowanie wymagań co do podstawowych zasad postępowania.</w:t>
      </w:r>
    </w:p>
    <w:p w:rsidR="004018DA" w:rsidRDefault="004018DA" w:rsidP="00B473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2350" w:rsidRDefault="00A449D9" w:rsidP="00B473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Zarząd Gamma S.A. podstawy do</w:t>
      </w:r>
      <w:r w:rsidR="00AF7EEE">
        <w:rPr>
          <w:rFonts w:ascii="Times New Roman" w:hAnsi="Times New Roman" w:cs="Times New Roman"/>
          <w:sz w:val="24"/>
          <w:szCs w:val="24"/>
        </w:rPr>
        <w:t xml:space="preserve"> uchylenia skargi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EEE">
        <w:rPr>
          <w:rFonts w:ascii="Times New Roman" w:hAnsi="Times New Roman" w:cs="Times New Roman"/>
          <w:sz w:val="24"/>
          <w:szCs w:val="24"/>
        </w:rPr>
        <w:t xml:space="preserve">może </w:t>
      </w:r>
      <w:r>
        <w:rPr>
          <w:rFonts w:ascii="Times New Roman" w:hAnsi="Times New Roman" w:cs="Times New Roman"/>
          <w:sz w:val="24"/>
          <w:szCs w:val="24"/>
        </w:rPr>
        <w:t xml:space="preserve">szukać w art. 1206. § 1 pkt. 4 k.p.c., który stanowi, że „strona może w drodze skargi żądać uchylenia wyroku sądu polubownego, jeżeli </w:t>
      </w:r>
      <w:r w:rsidRPr="00A449D9">
        <w:rPr>
          <w:rFonts w:ascii="Times New Roman" w:hAnsi="Times New Roman" w:cs="Times New Roman"/>
          <w:sz w:val="24"/>
          <w:szCs w:val="24"/>
        </w:rPr>
        <w:t>nie zachowano wymagań co do składu sądu polubownego lub podstawowych zasad postępowania przed tym sądem, wynikających z ustawy lub określonych przez strony</w:t>
      </w:r>
      <w:r>
        <w:rPr>
          <w:rFonts w:ascii="Times New Roman" w:hAnsi="Times New Roman" w:cs="Times New Roman"/>
          <w:sz w:val="24"/>
          <w:szCs w:val="24"/>
        </w:rPr>
        <w:t xml:space="preserve">”. W tym wypadku sąd będzie zmuszony odnieść się do </w:t>
      </w:r>
      <w:r w:rsidR="00E97C0A">
        <w:rPr>
          <w:rFonts w:ascii="Times New Roman" w:hAnsi="Times New Roman" w:cs="Times New Roman"/>
          <w:sz w:val="24"/>
          <w:szCs w:val="24"/>
        </w:rPr>
        <w:t xml:space="preserve">decyzji </w:t>
      </w:r>
      <w:r w:rsidR="00AF7EEE">
        <w:rPr>
          <w:rFonts w:ascii="Times New Roman" w:hAnsi="Times New Roman" w:cs="Times New Roman"/>
          <w:sz w:val="24"/>
          <w:szCs w:val="24"/>
        </w:rPr>
        <w:t xml:space="preserve">sądu polubownego o dopuszczeniu do merytorycznego rozpoznania sprawy mimo niewyczerpania </w:t>
      </w:r>
      <w:r w:rsidR="00D1594E">
        <w:rPr>
          <w:rFonts w:ascii="Times New Roman" w:hAnsi="Times New Roman" w:cs="Times New Roman"/>
          <w:sz w:val="24"/>
          <w:szCs w:val="24"/>
        </w:rPr>
        <w:t xml:space="preserve">umownie uregulowanych przedarbitrażowych sposobów rozstrzygania sporów. Tak jak sąd arbitrażowy tak też sąd powszechny </w:t>
      </w:r>
      <w:r w:rsidR="003F656D">
        <w:rPr>
          <w:rFonts w:ascii="Times New Roman" w:hAnsi="Times New Roman" w:cs="Times New Roman"/>
          <w:sz w:val="24"/>
          <w:szCs w:val="24"/>
        </w:rPr>
        <w:t>dokonać będzie musiał</w:t>
      </w:r>
      <w:r w:rsidR="00D1594E">
        <w:rPr>
          <w:rFonts w:ascii="Times New Roman" w:hAnsi="Times New Roman" w:cs="Times New Roman"/>
          <w:sz w:val="24"/>
          <w:szCs w:val="24"/>
        </w:rPr>
        <w:t xml:space="preserve"> </w:t>
      </w:r>
      <w:r w:rsidR="0020475D">
        <w:rPr>
          <w:rFonts w:ascii="Times New Roman" w:hAnsi="Times New Roman" w:cs="Times New Roman"/>
          <w:sz w:val="24"/>
          <w:szCs w:val="24"/>
        </w:rPr>
        <w:t xml:space="preserve">także </w:t>
      </w:r>
      <w:r w:rsidR="00D1594E">
        <w:rPr>
          <w:rFonts w:ascii="Times New Roman" w:hAnsi="Times New Roman" w:cs="Times New Roman"/>
          <w:sz w:val="24"/>
          <w:szCs w:val="24"/>
        </w:rPr>
        <w:t>rozróżnienia pomiędzy „</w:t>
      </w:r>
      <w:r w:rsidR="006A4F17">
        <w:rPr>
          <w:rFonts w:ascii="Times New Roman" w:hAnsi="Times New Roman" w:cs="Times New Roman"/>
          <w:sz w:val="24"/>
          <w:szCs w:val="24"/>
        </w:rPr>
        <w:t>podstawowymi zasadami postępowania</w:t>
      </w:r>
      <w:r w:rsidR="00D1594E">
        <w:rPr>
          <w:rFonts w:ascii="Times New Roman" w:hAnsi="Times New Roman" w:cs="Times New Roman"/>
          <w:sz w:val="24"/>
          <w:szCs w:val="24"/>
        </w:rPr>
        <w:t xml:space="preserve">”, a zasadami, które podstawowe nie są. </w:t>
      </w:r>
    </w:p>
    <w:p w:rsidR="00EC78BA" w:rsidRDefault="00EC78BA" w:rsidP="00B4731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16880" w:rsidRDefault="00D1594E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Wydaje się, że z</w:t>
      </w:r>
      <w:r w:rsidRPr="00D1594E">
        <w:rPr>
          <w:rFonts w:ascii="Times New Roman" w:hAnsi="Times New Roman" w:cs="Times New Roman"/>
          <w:sz w:val="24"/>
          <w:szCs w:val="24"/>
        </w:rPr>
        <w:t>akres przedmiotowy terminu „podstawowe zasady postępowania” jest niedookreślony, gdyż brakuje jednoznacznych kryteriów, które pozwalają na prawidłowe rozróżnienie pomiędzy zasadami podstawowymi a pozostałymi.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F17">
        <w:rPr>
          <w:rFonts w:ascii="Times New Roman" w:hAnsi="Times New Roman" w:cs="Times New Roman"/>
          <w:sz w:val="24"/>
          <w:szCs w:val="24"/>
        </w:rPr>
        <w:t xml:space="preserve">Jak słusznie zauważa </w:t>
      </w:r>
      <w:r w:rsidR="006A4F17" w:rsidRPr="000C01B7">
        <w:rPr>
          <w:rFonts w:ascii="Times New Roman" w:hAnsi="Times New Roman" w:cs="Times New Roman"/>
          <w:i/>
          <w:sz w:val="24"/>
          <w:szCs w:val="24"/>
        </w:rPr>
        <w:t>Ł. Błaszczak i M. Ludwik</w:t>
      </w:r>
      <w:r w:rsidR="006A4F17" w:rsidRPr="006A4F17">
        <w:rPr>
          <w:rFonts w:ascii="Times New Roman" w:hAnsi="Times New Roman" w:cs="Times New Roman"/>
          <w:sz w:val="24"/>
          <w:szCs w:val="24"/>
        </w:rPr>
        <w:t xml:space="preserve"> w momencie pojawienia się wątpliwości, które z zasad są</w:t>
      </w:r>
      <w:r w:rsidR="006A4F17">
        <w:rPr>
          <w:rFonts w:ascii="Times New Roman" w:hAnsi="Times New Roman" w:cs="Times New Roman"/>
          <w:sz w:val="24"/>
          <w:szCs w:val="24"/>
        </w:rPr>
        <w:t xml:space="preserve"> </w:t>
      </w:r>
      <w:r w:rsidR="006A4F17" w:rsidRPr="006A4F17">
        <w:rPr>
          <w:rFonts w:ascii="Times New Roman" w:hAnsi="Times New Roman" w:cs="Times New Roman"/>
          <w:sz w:val="24"/>
          <w:szCs w:val="24"/>
        </w:rPr>
        <w:t>podstawowymi, należy brać pod uwagę zgodny zamiar stron i cel</w:t>
      </w:r>
      <w:r w:rsidR="006A4F17">
        <w:rPr>
          <w:rFonts w:ascii="Times New Roman" w:hAnsi="Times New Roman" w:cs="Times New Roman"/>
          <w:sz w:val="24"/>
          <w:szCs w:val="24"/>
        </w:rPr>
        <w:t xml:space="preserve"> </w:t>
      </w:r>
      <w:r w:rsidR="006A4F17" w:rsidRPr="006A4F17">
        <w:rPr>
          <w:rFonts w:ascii="Times New Roman" w:hAnsi="Times New Roman" w:cs="Times New Roman"/>
          <w:sz w:val="24"/>
          <w:szCs w:val="24"/>
        </w:rPr>
        <w:t>umowy, aniżeli opierać się na jej dosłownym brzmieniu</w:t>
      </w:r>
      <w:r w:rsidR="007A2350">
        <w:rPr>
          <w:rFonts w:ascii="Times New Roman" w:hAnsi="Times New Roman" w:cs="Times New Roman"/>
          <w:sz w:val="24"/>
          <w:szCs w:val="24"/>
        </w:rPr>
        <w:t xml:space="preserve">. </w:t>
      </w:r>
      <w:r w:rsidR="006A4F17" w:rsidRPr="006A4F17">
        <w:rPr>
          <w:rFonts w:ascii="Times New Roman" w:hAnsi="Times New Roman" w:cs="Times New Roman"/>
          <w:sz w:val="24"/>
          <w:szCs w:val="24"/>
        </w:rPr>
        <w:t>Za podstawowe zasady postępowania należy,</w:t>
      </w:r>
      <w:r w:rsidR="006A4F17">
        <w:rPr>
          <w:rFonts w:ascii="Times New Roman" w:hAnsi="Times New Roman" w:cs="Times New Roman"/>
          <w:sz w:val="24"/>
          <w:szCs w:val="24"/>
        </w:rPr>
        <w:t xml:space="preserve"> </w:t>
      </w:r>
      <w:r w:rsidR="006A4F17" w:rsidRPr="006A4F17">
        <w:rPr>
          <w:rFonts w:ascii="Times New Roman" w:hAnsi="Times New Roman" w:cs="Times New Roman"/>
          <w:sz w:val="24"/>
          <w:szCs w:val="24"/>
        </w:rPr>
        <w:t>więc uznać te, które mają istotny wpływ na wydane w postępowaniu</w:t>
      </w:r>
      <w:r w:rsidR="006A4F17">
        <w:rPr>
          <w:rFonts w:ascii="Times New Roman" w:hAnsi="Times New Roman" w:cs="Times New Roman"/>
          <w:sz w:val="24"/>
          <w:szCs w:val="24"/>
        </w:rPr>
        <w:t xml:space="preserve"> rozstrzygnięcie</w:t>
      </w:r>
      <w:r w:rsidR="006A4F17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8"/>
      </w:r>
      <w:r w:rsidR="006A4F17" w:rsidRPr="006A4F17">
        <w:rPr>
          <w:rFonts w:ascii="Times New Roman" w:hAnsi="Times New Roman" w:cs="Times New Roman"/>
          <w:sz w:val="24"/>
          <w:szCs w:val="24"/>
        </w:rPr>
        <w:t>.</w:t>
      </w:r>
      <w:r w:rsidR="006A4F17">
        <w:rPr>
          <w:rFonts w:ascii="Times New Roman" w:hAnsi="Times New Roman" w:cs="Times New Roman"/>
          <w:sz w:val="24"/>
          <w:szCs w:val="24"/>
        </w:rPr>
        <w:t xml:space="preserve"> </w:t>
      </w:r>
      <w:r w:rsidR="00B16880">
        <w:rPr>
          <w:rFonts w:ascii="Times New Roman" w:hAnsi="Times New Roman" w:cs="Times New Roman"/>
          <w:sz w:val="24"/>
          <w:szCs w:val="24"/>
        </w:rPr>
        <w:t xml:space="preserve">Warunkiem </w:t>
      </w:r>
      <w:r w:rsidR="00B16880" w:rsidRPr="00B16880">
        <w:rPr>
          <w:rFonts w:ascii="Times New Roman" w:hAnsi="Times New Roman" w:cs="Times New Roman"/>
          <w:i/>
          <w:sz w:val="24"/>
          <w:szCs w:val="24"/>
        </w:rPr>
        <w:t>sine qua non</w:t>
      </w:r>
      <w:r w:rsidR="00B16880">
        <w:rPr>
          <w:rFonts w:ascii="Times New Roman" w:hAnsi="Times New Roman" w:cs="Times New Roman"/>
          <w:sz w:val="24"/>
          <w:szCs w:val="24"/>
        </w:rPr>
        <w:t xml:space="preserve"> uchylenia decyzji będzie zatem uznanie przez sąd powszechny, że naruszenie zasad procedury miało wpływ na rozstrzygnięcie sądu a</w:t>
      </w:r>
      <w:r w:rsidR="007A2350">
        <w:rPr>
          <w:rFonts w:ascii="Times New Roman" w:hAnsi="Times New Roman" w:cs="Times New Roman"/>
          <w:sz w:val="24"/>
          <w:szCs w:val="24"/>
        </w:rPr>
        <w:t>rbitrażowego. Opuszczenie</w:t>
      </w:r>
      <w:r w:rsidR="00B16880">
        <w:rPr>
          <w:rFonts w:ascii="Times New Roman" w:hAnsi="Times New Roman" w:cs="Times New Roman"/>
          <w:sz w:val="24"/>
          <w:szCs w:val="24"/>
        </w:rPr>
        <w:t xml:space="preserve"> </w:t>
      </w:r>
      <w:r w:rsidR="00B16880">
        <w:rPr>
          <w:rFonts w:ascii="Times New Roman" w:hAnsi="Times New Roman" w:cs="Times New Roman"/>
          <w:sz w:val="24"/>
          <w:szCs w:val="24"/>
        </w:rPr>
        <w:lastRenderedPageBreak/>
        <w:t xml:space="preserve">przedarbitrażowych sposobów rozstrzygania sporów nie posiada takiego przymiotu dlatego należy domniemywać, że </w:t>
      </w:r>
      <w:r w:rsidR="00B16880" w:rsidRPr="00BB21CD">
        <w:rPr>
          <w:rFonts w:ascii="Times New Roman" w:hAnsi="Times New Roman" w:cs="Times New Roman"/>
          <w:sz w:val="24"/>
          <w:szCs w:val="24"/>
        </w:rPr>
        <w:t>sąd nie przychyli się do ewentualnego żądania Gamma S.A. i nie uchyli wyroku sądu polubownego na podstawie przesłanki z art. 1206 § 1 pkt. 4 k.p.c.</w:t>
      </w:r>
    </w:p>
    <w:p w:rsidR="004018DA" w:rsidRDefault="004018DA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18DA" w:rsidRPr="004018DA" w:rsidRDefault="004018DA" w:rsidP="004018D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8DA">
        <w:rPr>
          <w:rFonts w:ascii="Times New Roman" w:hAnsi="Times New Roman" w:cs="Times New Roman"/>
          <w:b/>
          <w:sz w:val="24"/>
          <w:szCs w:val="24"/>
        </w:rPr>
        <w:t>naruszenia podstawowych zasad porządku prawnego Rzeczypospolitej Polskiej.</w:t>
      </w:r>
    </w:p>
    <w:p w:rsidR="00EC78BA" w:rsidRPr="00F22FCA" w:rsidRDefault="00EC78BA" w:rsidP="00F00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880" w:rsidRDefault="00B16880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Sąd powszechny może jednak wziąć pod uwagę naruszenie art. </w:t>
      </w:r>
      <w:r w:rsidR="00F87DBA">
        <w:rPr>
          <w:rFonts w:ascii="Times New Roman" w:hAnsi="Times New Roman" w:cs="Times New Roman"/>
          <w:sz w:val="24"/>
          <w:szCs w:val="24"/>
        </w:rPr>
        <w:t xml:space="preserve">1206 § 2 pkt. 2, który stanowi, że uchylenie wyroku sądu polubownego następuje także wtedy, gdy sąd stwierdził, że </w:t>
      </w:r>
      <w:r w:rsidR="00F87DBA" w:rsidRPr="00F87DBA">
        <w:rPr>
          <w:rFonts w:ascii="Times New Roman" w:hAnsi="Times New Roman" w:cs="Times New Roman"/>
          <w:sz w:val="24"/>
          <w:szCs w:val="24"/>
        </w:rPr>
        <w:t>wyrok sądu polubownego jest sprzeczny z podstawowymi zasadami porządku prawnego Rzeczypospolitej Polskiej (klauzula porządku publicznego).</w:t>
      </w:r>
      <w:r w:rsidR="00F87DBA">
        <w:rPr>
          <w:rFonts w:ascii="Times New Roman" w:hAnsi="Times New Roman" w:cs="Times New Roman"/>
          <w:sz w:val="24"/>
          <w:szCs w:val="24"/>
        </w:rPr>
        <w:t xml:space="preserve"> </w:t>
      </w:r>
      <w:r w:rsidR="003E3B1E">
        <w:rPr>
          <w:rFonts w:ascii="Times New Roman" w:hAnsi="Times New Roman" w:cs="Times New Roman"/>
          <w:sz w:val="24"/>
          <w:szCs w:val="24"/>
        </w:rPr>
        <w:t>Jak wskazuje Sąd Najwyższy p</w:t>
      </w:r>
      <w:r w:rsidR="00F87DBA">
        <w:rPr>
          <w:rFonts w:ascii="Times New Roman" w:hAnsi="Times New Roman" w:cs="Times New Roman"/>
          <w:sz w:val="24"/>
          <w:szCs w:val="24"/>
        </w:rPr>
        <w:t xml:space="preserve">rzesłanka ta, </w:t>
      </w:r>
      <w:r w:rsidR="008E4D8A">
        <w:rPr>
          <w:rFonts w:ascii="Times New Roman" w:hAnsi="Times New Roman" w:cs="Times New Roman"/>
          <w:sz w:val="24"/>
          <w:szCs w:val="24"/>
        </w:rPr>
        <w:t>której naruszenie sąd powszechny bierze pod rozwagę z urzędu, „</w:t>
      </w:r>
      <w:r w:rsidR="008E4D8A" w:rsidRPr="008E4D8A">
        <w:rPr>
          <w:rFonts w:ascii="Times New Roman" w:eastAsia="MinionPro-Regular" w:hAnsi="Times New Roman" w:cs="Times New Roman"/>
          <w:sz w:val="24"/>
          <w:szCs w:val="24"/>
        </w:rPr>
        <w:t>wskazuje jednoznacznie, że chodzi o takie naruszenia przepisów prawa materialnego, k</w:t>
      </w:r>
      <w:r w:rsidR="008E4D8A">
        <w:rPr>
          <w:rFonts w:ascii="Times New Roman" w:eastAsia="MinionPro-Regular" w:hAnsi="Times New Roman" w:cs="Times New Roman"/>
          <w:sz w:val="24"/>
          <w:szCs w:val="24"/>
        </w:rPr>
        <w:t>tó</w:t>
      </w:r>
      <w:r w:rsidR="008E4D8A" w:rsidRPr="008E4D8A">
        <w:rPr>
          <w:rFonts w:ascii="Times New Roman" w:eastAsia="MinionPro-Regular" w:hAnsi="Times New Roman" w:cs="Times New Roman"/>
          <w:sz w:val="24"/>
          <w:szCs w:val="24"/>
        </w:rPr>
        <w:t>re prowadzą do pogwałcenia zasad państwa prawa (praworządności), a zapadły wyrok arbitrażowy narusza naczelne zasady prawne obowiązujące w Rzeczypospolitej Polskiej, godzi w obowiązujący porządek prawny, czyli narusza pryncypia ustrojowo-polityczne i społeczno-gospodarcze (…)”</w:t>
      </w:r>
      <w:r w:rsidR="008E4D8A">
        <w:rPr>
          <w:rStyle w:val="Odwoanieprzypisudolnego"/>
          <w:rFonts w:ascii="Times New Roman" w:eastAsia="MinionPro-Regular" w:hAnsi="Times New Roman" w:cs="Times New Roman"/>
          <w:sz w:val="24"/>
          <w:szCs w:val="24"/>
        </w:rPr>
        <w:footnoteReference w:id="9"/>
      </w:r>
      <w:r w:rsidR="008E4D8A" w:rsidRPr="008E4D8A">
        <w:rPr>
          <w:rFonts w:ascii="Times New Roman" w:eastAsia="MinionPro-Regular" w:hAnsi="Times New Roman" w:cs="Times New Roman"/>
          <w:sz w:val="24"/>
          <w:szCs w:val="24"/>
        </w:rPr>
        <w:t>.</w:t>
      </w:r>
      <w:r w:rsidR="008E4D8A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r w:rsidR="00A44433">
        <w:rPr>
          <w:rFonts w:ascii="Times New Roman" w:eastAsia="MinionPro-Regular" w:hAnsi="Times New Roman" w:cs="Times New Roman"/>
          <w:sz w:val="24"/>
          <w:szCs w:val="24"/>
        </w:rPr>
        <w:t>Z tej dość lak</w:t>
      </w:r>
      <w:r w:rsidR="007A7501">
        <w:rPr>
          <w:rFonts w:ascii="Times New Roman" w:eastAsia="MinionPro-Regular" w:hAnsi="Times New Roman" w:cs="Times New Roman"/>
          <w:sz w:val="24"/>
          <w:szCs w:val="24"/>
        </w:rPr>
        <w:t>onicznej definicji doktryna wysuwa</w:t>
      </w:r>
      <w:r w:rsidR="00A44433">
        <w:rPr>
          <w:rFonts w:ascii="Times New Roman" w:eastAsia="MinionPro-Regular" w:hAnsi="Times New Roman" w:cs="Times New Roman"/>
          <w:sz w:val="24"/>
          <w:szCs w:val="24"/>
        </w:rPr>
        <w:t xml:space="preserve"> kilka istotnych wskazówek. Jak się przyjmuje</w:t>
      </w:r>
      <w:r w:rsidR="00A44433">
        <w:rPr>
          <w:rStyle w:val="Odwoanieprzypisudolnego"/>
          <w:rFonts w:ascii="Times New Roman" w:eastAsia="MinionPro-Regular" w:hAnsi="Times New Roman" w:cs="Times New Roman"/>
          <w:sz w:val="24"/>
          <w:szCs w:val="24"/>
        </w:rPr>
        <w:footnoteReference w:id="10"/>
      </w:r>
      <w:r w:rsidR="00A44433">
        <w:rPr>
          <w:rFonts w:ascii="Times New Roman" w:eastAsia="MinionPro-Regular" w:hAnsi="Times New Roman" w:cs="Times New Roman"/>
          <w:sz w:val="24"/>
          <w:szCs w:val="24"/>
        </w:rPr>
        <w:t xml:space="preserve"> z</w:t>
      </w:r>
      <w:r w:rsidR="00A44433" w:rsidRPr="00A44433">
        <w:rPr>
          <w:rFonts w:ascii="Times New Roman" w:eastAsia="MinionPro-Regular" w:hAnsi="Times New Roman" w:cs="Times New Roman"/>
          <w:sz w:val="24"/>
          <w:szCs w:val="24"/>
        </w:rPr>
        <w:t xml:space="preserve">asady te są dlatego istotne, że ich naruszenie </w:t>
      </w:r>
      <w:r w:rsidR="00A44433">
        <w:rPr>
          <w:rFonts w:ascii="Times New Roman" w:eastAsia="MinionPro-Regular" w:hAnsi="Times New Roman" w:cs="Times New Roman"/>
          <w:sz w:val="24"/>
          <w:szCs w:val="24"/>
        </w:rPr>
        <w:t>spowodować może</w:t>
      </w:r>
      <w:r w:rsidR="00A44433" w:rsidRPr="00A44433">
        <w:rPr>
          <w:rFonts w:ascii="Times New Roman" w:eastAsia="MinionPro-Regular" w:hAnsi="Times New Roman" w:cs="Times New Roman"/>
          <w:sz w:val="24"/>
          <w:szCs w:val="24"/>
        </w:rPr>
        <w:t xml:space="preserve"> negatywne skutki w zakresie merytorycznego rozstrzygnięcia. </w:t>
      </w:r>
      <w:r w:rsidR="00A44433">
        <w:rPr>
          <w:rFonts w:ascii="Times New Roman" w:eastAsia="MinionPro-Regular" w:hAnsi="Times New Roman" w:cs="Times New Roman"/>
          <w:sz w:val="24"/>
          <w:szCs w:val="24"/>
        </w:rPr>
        <w:t xml:space="preserve">Jednak jak podkreśla </w:t>
      </w:r>
      <w:r w:rsidR="00A44433" w:rsidRPr="00A44433">
        <w:rPr>
          <w:rFonts w:ascii="Times New Roman" w:eastAsia="MinionPro-Regular" w:hAnsi="Times New Roman" w:cs="Times New Roman"/>
          <w:i/>
          <w:sz w:val="24"/>
          <w:szCs w:val="24"/>
        </w:rPr>
        <w:t>M. Pilich</w:t>
      </w:r>
      <w:r w:rsidR="00A44433">
        <w:rPr>
          <w:rFonts w:ascii="Times New Roman" w:eastAsia="MinionPro-Regular" w:hAnsi="Times New Roman" w:cs="Times New Roman"/>
          <w:sz w:val="24"/>
          <w:szCs w:val="24"/>
        </w:rPr>
        <w:t xml:space="preserve"> nawet istotne naruszenie</w:t>
      </w:r>
      <w:r w:rsidR="00A44433" w:rsidRPr="00A44433">
        <w:rPr>
          <w:rFonts w:ascii="Times New Roman" w:eastAsia="MinionPro-Regular" w:hAnsi="Times New Roman" w:cs="Times New Roman"/>
          <w:sz w:val="24"/>
          <w:szCs w:val="24"/>
        </w:rPr>
        <w:t xml:space="preserve"> elementarnej zasady nie musi być wystarczającą podstawą zastosowania klauzuli porządku publicznego, jeżeli skutki naruszenia nie mogły wpłynąć na orzeczenie sądu arbitrażowego. Nie wolno jednak tego twierdzenia absolutyzować; domniemanie powinno przemawiać za tym, że poważne naruszenia podstawowych zasad procesowych mają </w:t>
      </w:r>
      <w:r w:rsidR="007A2350">
        <w:rPr>
          <w:rFonts w:ascii="Times New Roman" w:eastAsia="MinionPro-Regular" w:hAnsi="Times New Roman" w:cs="Times New Roman"/>
          <w:sz w:val="24"/>
          <w:szCs w:val="24"/>
        </w:rPr>
        <w:t xml:space="preserve">zazwyczaj </w:t>
      </w:r>
      <w:r w:rsidR="00A44433" w:rsidRPr="00A44433">
        <w:rPr>
          <w:rFonts w:ascii="Times New Roman" w:eastAsia="MinionPro-Regular" w:hAnsi="Times New Roman" w:cs="Times New Roman"/>
          <w:sz w:val="24"/>
          <w:szCs w:val="24"/>
        </w:rPr>
        <w:t xml:space="preserve">taki skutek. </w:t>
      </w:r>
      <w:r w:rsidR="00DA278B">
        <w:rPr>
          <w:rFonts w:ascii="Times New Roman" w:eastAsia="MinionPro-Regular" w:hAnsi="Times New Roman" w:cs="Times New Roman"/>
          <w:sz w:val="24"/>
          <w:szCs w:val="24"/>
        </w:rPr>
        <w:t xml:space="preserve">Sąd przeprowadzić będzie musiał w tym wypadku eksperyment i odpowiedzieć sobie na pytanie czy w innych wypadkach tego rodzaju pominięcie zapisu w klauzuli arbitrażowej miałoby wpływ na ostateczne rozstrzygnięcie. Odnieść się będzie musiał do wypadków mu podobnych i do ich subsumcji. </w:t>
      </w:r>
      <w:r w:rsidR="00BD55BC">
        <w:rPr>
          <w:rFonts w:ascii="Times New Roman" w:eastAsia="MinionPro-Regular" w:hAnsi="Times New Roman" w:cs="Times New Roman"/>
          <w:sz w:val="24"/>
          <w:szCs w:val="24"/>
        </w:rPr>
        <w:t xml:space="preserve">Jak </w:t>
      </w:r>
      <w:r w:rsidR="00BB21CD">
        <w:rPr>
          <w:rFonts w:ascii="Times New Roman" w:eastAsia="MinionPro-Regular" w:hAnsi="Times New Roman" w:cs="Times New Roman"/>
          <w:sz w:val="24"/>
          <w:szCs w:val="24"/>
        </w:rPr>
        <w:t xml:space="preserve">można </w:t>
      </w:r>
      <w:r w:rsidR="00BD55BC">
        <w:rPr>
          <w:rFonts w:ascii="Times New Roman" w:eastAsia="MinionPro-Regular" w:hAnsi="Times New Roman" w:cs="Times New Roman"/>
          <w:sz w:val="24"/>
          <w:szCs w:val="24"/>
        </w:rPr>
        <w:t>jednak skonstatować,</w:t>
      </w:r>
      <w:r w:rsidR="00BB21CD">
        <w:rPr>
          <w:rFonts w:ascii="Times New Roman" w:eastAsia="MinionPro-Regular" w:hAnsi="Times New Roman" w:cs="Times New Roman"/>
          <w:sz w:val="24"/>
          <w:szCs w:val="24"/>
        </w:rPr>
        <w:t xml:space="preserve"> „przeciętnie” tego rodzaju wady </w:t>
      </w:r>
      <w:r w:rsidR="00BD55BC">
        <w:rPr>
          <w:rFonts w:ascii="Times New Roman" w:eastAsia="MinionPro-Regular" w:hAnsi="Times New Roman" w:cs="Times New Roman"/>
          <w:sz w:val="24"/>
          <w:szCs w:val="24"/>
        </w:rPr>
        <w:t xml:space="preserve">(pominięcie przedarbitrażowych sposobów rozstrzygania sporów) </w:t>
      </w:r>
      <w:r w:rsidR="00BB21CD">
        <w:rPr>
          <w:rFonts w:ascii="Times New Roman" w:eastAsia="MinionPro-Regular" w:hAnsi="Times New Roman" w:cs="Times New Roman"/>
          <w:sz w:val="24"/>
          <w:szCs w:val="24"/>
        </w:rPr>
        <w:t>nie mają wpływu na rozstrzygnięcie merytoryczne.</w:t>
      </w:r>
    </w:p>
    <w:p w:rsidR="00EC78BA" w:rsidRDefault="00EC78BA" w:rsidP="00F00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4"/>
          <w:szCs w:val="24"/>
        </w:rPr>
      </w:pPr>
    </w:p>
    <w:p w:rsidR="00F22FCA" w:rsidRPr="00F22FCA" w:rsidRDefault="00F22FCA" w:rsidP="00EF47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2FCA">
        <w:rPr>
          <w:rFonts w:ascii="Times New Roman" w:hAnsi="Times New Roman" w:cs="Times New Roman"/>
          <w:b/>
          <w:sz w:val="24"/>
          <w:szCs w:val="24"/>
        </w:rPr>
        <w:t xml:space="preserve">Reasumując należy stwierdzić, że do tak wydanej decyzji (z pominięciem Komisji rozjemstwa w sporach) Zarządowi Gamma S.A. przysługiwać będzie skarga do sądu powszechnego o uchylenie wyroku. Ze względu jednak na brak wpływu pominięcia etapów przedarbitrażowych na ostateczną decyzję sądu polubownego wyrok nie będzie podlegał uchyleniu. </w:t>
      </w:r>
    </w:p>
    <w:sectPr w:rsidR="00F22FCA" w:rsidRPr="00F22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10F" w:rsidRDefault="00AD110F" w:rsidP="004D5925">
      <w:pPr>
        <w:spacing w:after="0" w:line="240" w:lineRule="auto"/>
      </w:pPr>
      <w:r>
        <w:separator/>
      </w:r>
    </w:p>
  </w:endnote>
  <w:endnote w:type="continuationSeparator" w:id="0">
    <w:p w:rsidR="00AD110F" w:rsidRDefault="00AD110F" w:rsidP="004D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5" w:usb1="08070000" w:usb2="00000010" w:usb3="00000000" w:csb0="00020002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10F" w:rsidRDefault="00AD110F" w:rsidP="004D5925">
      <w:pPr>
        <w:spacing w:after="0" w:line="240" w:lineRule="auto"/>
      </w:pPr>
      <w:r>
        <w:separator/>
      </w:r>
    </w:p>
  </w:footnote>
  <w:footnote w:type="continuationSeparator" w:id="0">
    <w:p w:rsidR="00AD110F" w:rsidRDefault="00AD110F" w:rsidP="004D5925">
      <w:pPr>
        <w:spacing w:after="0" w:line="240" w:lineRule="auto"/>
      </w:pPr>
      <w:r>
        <w:continuationSeparator/>
      </w:r>
    </w:p>
  </w:footnote>
  <w:footnote w:id="1">
    <w:p w:rsidR="00E35E7F" w:rsidRPr="004D5B4B" w:rsidRDefault="00E35E7F" w:rsidP="004D5B4B">
      <w:pPr>
        <w:pStyle w:val="Tekstprzypisudolnego"/>
        <w:jc w:val="both"/>
        <w:rPr>
          <w:rFonts w:ascii="Times New Roman" w:hAnsi="Times New Roman" w:cs="Times New Roman"/>
        </w:rPr>
      </w:pPr>
      <w:r w:rsidRPr="004D5B4B">
        <w:rPr>
          <w:rStyle w:val="Odwoanieprzypisudolnego"/>
          <w:rFonts w:ascii="Times New Roman" w:hAnsi="Times New Roman" w:cs="Times New Roman"/>
        </w:rPr>
        <w:footnoteRef/>
      </w:r>
      <w:r w:rsidRPr="004D5B4B">
        <w:rPr>
          <w:rFonts w:ascii="Times New Roman" w:eastAsia="MinionPro-Regular" w:hAnsi="Times New Roman" w:cs="Times New Roman"/>
        </w:rPr>
        <w:t xml:space="preserve"> </w:t>
      </w:r>
      <w:r w:rsidR="00E80D0E" w:rsidRPr="004D5B4B">
        <w:rPr>
          <w:rFonts w:ascii="Times New Roman" w:eastAsia="MinionPro-Regular" w:hAnsi="Times New Roman" w:cs="Times New Roman"/>
        </w:rPr>
        <w:t>www.sakig.pl</w:t>
      </w:r>
      <w:r w:rsidRPr="004D5B4B">
        <w:rPr>
          <w:rFonts w:ascii="Times New Roman" w:hAnsi="Times New Roman" w:cs="Times New Roman"/>
        </w:rPr>
        <w:t>.</w:t>
      </w:r>
    </w:p>
  </w:footnote>
  <w:footnote w:id="2">
    <w:p w:rsidR="00305DB3" w:rsidRPr="004D5B4B" w:rsidRDefault="00305DB3" w:rsidP="004D5B4B">
      <w:pPr>
        <w:pStyle w:val="Tekstprzypisudolnego"/>
        <w:jc w:val="both"/>
        <w:rPr>
          <w:rFonts w:ascii="Times New Roman" w:hAnsi="Times New Roman" w:cs="Times New Roman"/>
        </w:rPr>
      </w:pPr>
      <w:r w:rsidRPr="004D5B4B">
        <w:rPr>
          <w:rStyle w:val="Odwoanieprzypisudolnego"/>
          <w:rFonts w:ascii="Times New Roman" w:hAnsi="Times New Roman" w:cs="Times New Roman"/>
        </w:rPr>
        <w:footnoteRef/>
      </w:r>
      <w:r w:rsidRPr="004D5B4B">
        <w:rPr>
          <w:rFonts w:ascii="Times New Roman" w:hAnsi="Times New Roman" w:cs="Times New Roman"/>
        </w:rPr>
        <w:t xml:space="preserve"> </w:t>
      </w:r>
      <w:r w:rsidR="0061253E" w:rsidRPr="004D5B4B">
        <w:rPr>
          <w:rFonts w:ascii="Times New Roman" w:hAnsi="Times New Roman" w:cs="Times New Roman"/>
          <w:bCs/>
          <w:color w:val="000000"/>
        </w:rPr>
        <w:t>§</w:t>
      </w:r>
      <w:r w:rsidRPr="004D5B4B">
        <w:rPr>
          <w:rFonts w:ascii="Times New Roman" w:hAnsi="Times New Roman" w:cs="Times New Roman"/>
        </w:rPr>
        <w:t xml:space="preserve"> 6 Regulaminu Sądu Arbitrażowego przy Krajowej Izbie Gospodarczej w Warszawie.</w:t>
      </w:r>
    </w:p>
  </w:footnote>
  <w:footnote w:id="3">
    <w:p w:rsidR="00D10BB8" w:rsidRPr="004D5B4B" w:rsidRDefault="00D10BB8" w:rsidP="004D5B4B">
      <w:pPr>
        <w:pStyle w:val="Tekstprzypisudolnego"/>
        <w:jc w:val="both"/>
        <w:rPr>
          <w:rFonts w:ascii="Times New Roman" w:hAnsi="Times New Roman" w:cs="Times New Roman"/>
        </w:rPr>
      </w:pPr>
      <w:r w:rsidRPr="004D5B4B">
        <w:rPr>
          <w:rStyle w:val="Odwoanieprzypisudolnego"/>
          <w:rFonts w:ascii="Times New Roman" w:hAnsi="Times New Roman" w:cs="Times New Roman"/>
        </w:rPr>
        <w:footnoteRef/>
      </w:r>
      <w:r w:rsidRPr="004D5B4B">
        <w:rPr>
          <w:rFonts w:ascii="Times New Roman" w:hAnsi="Times New Roman" w:cs="Times New Roman"/>
        </w:rPr>
        <w:t xml:space="preserve"> </w:t>
      </w:r>
      <w:r w:rsidRPr="004D5B4B">
        <w:rPr>
          <w:rFonts w:ascii="Times New Roman" w:eastAsia="MinionPro-It" w:hAnsi="Times New Roman" w:cs="Times New Roman"/>
          <w:iCs/>
        </w:rPr>
        <w:t>S. Cieślak</w:t>
      </w:r>
      <w:r w:rsidRPr="004D5B4B">
        <w:rPr>
          <w:rFonts w:ascii="Times New Roman" w:eastAsia="MinionPro-Regular" w:hAnsi="Times New Roman" w:cs="Times New Roman"/>
        </w:rPr>
        <w:t xml:space="preserve">, </w:t>
      </w:r>
      <w:r w:rsidRPr="004D5B4B">
        <w:rPr>
          <w:rFonts w:ascii="Times New Roman" w:eastAsia="MinionPro-Regular" w:hAnsi="Times New Roman" w:cs="Times New Roman"/>
          <w:i/>
        </w:rPr>
        <w:t>Formalizm postępowania cywilnego</w:t>
      </w:r>
      <w:r w:rsidRPr="004D5B4B">
        <w:rPr>
          <w:rFonts w:ascii="Times New Roman" w:eastAsia="MinionPro-Regular" w:hAnsi="Times New Roman" w:cs="Times New Roman"/>
        </w:rPr>
        <w:t>, Warszawa 2008, s. 117.</w:t>
      </w:r>
    </w:p>
  </w:footnote>
  <w:footnote w:id="4">
    <w:p w:rsidR="00DB083B" w:rsidRPr="004D5B4B" w:rsidRDefault="00DB083B" w:rsidP="004D5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0"/>
          <w:szCs w:val="20"/>
        </w:rPr>
      </w:pPr>
      <w:r w:rsidRPr="004D5B4B">
        <w:rPr>
          <w:rStyle w:val="Odwoanieprzypisudolnego"/>
          <w:rFonts w:ascii="Times New Roman" w:hAnsi="Times New Roman" w:cs="Times New Roman"/>
          <w:sz w:val="20"/>
          <w:szCs w:val="20"/>
        </w:rPr>
        <w:footnoteRef/>
      </w:r>
      <w:r w:rsidRPr="004D5B4B">
        <w:rPr>
          <w:rFonts w:ascii="Times New Roman" w:hAnsi="Times New Roman" w:cs="Times New Roman"/>
          <w:sz w:val="20"/>
          <w:szCs w:val="20"/>
        </w:rPr>
        <w:t xml:space="preserve"> </w:t>
      </w:r>
      <w:r w:rsidRPr="004D5B4B">
        <w:rPr>
          <w:rFonts w:ascii="Times New Roman" w:eastAsia="MinionPro-It" w:hAnsi="Times New Roman" w:cs="Times New Roman"/>
          <w:iCs/>
          <w:sz w:val="20"/>
          <w:szCs w:val="20"/>
        </w:rPr>
        <w:t>M. Tomaszewski</w:t>
      </w:r>
      <w:r w:rsidRPr="004D5B4B">
        <w:rPr>
          <w:rFonts w:ascii="Times New Roman" w:eastAsia="MinionPro-Regular" w:hAnsi="Times New Roman" w:cs="Times New Roman"/>
          <w:sz w:val="20"/>
          <w:szCs w:val="20"/>
        </w:rPr>
        <w:t xml:space="preserve">, </w:t>
      </w:r>
      <w:r w:rsidRPr="004D5B4B">
        <w:rPr>
          <w:rFonts w:ascii="Times New Roman" w:eastAsia="MinionPro-Regular" w:hAnsi="Times New Roman" w:cs="Times New Roman"/>
          <w:i/>
          <w:sz w:val="20"/>
          <w:szCs w:val="20"/>
        </w:rPr>
        <w:t>Skuteczność ochrony prawnej przed sądami polubownymi. Doświadczenia polskie</w:t>
      </w:r>
      <w:r w:rsidRPr="004D5B4B">
        <w:rPr>
          <w:rFonts w:ascii="Times New Roman" w:eastAsia="MinionPro-Regular" w:hAnsi="Times New Roman" w:cs="Times New Roman"/>
          <w:sz w:val="20"/>
          <w:szCs w:val="20"/>
        </w:rPr>
        <w:t>, PS 2006, Nr 1, s. 49.</w:t>
      </w:r>
    </w:p>
  </w:footnote>
  <w:footnote w:id="5">
    <w:p w:rsidR="009B59D4" w:rsidRPr="004D5B4B" w:rsidRDefault="009B59D4" w:rsidP="004D5B4B">
      <w:pPr>
        <w:pStyle w:val="Tekstprzypisudolnego"/>
        <w:jc w:val="both"/>
        <w:rPr>
          <w:rFonts w:ascii="Times New Roman" w:hAnsi="Times New Roman" w:cs="Times New Roman"/>
        </w:rPr>
      </w:pPr>
      <w:r w:rsidRPr="004D5B4B">
        <w:rPr>
          <w:rStyle w:val="Odwoanieprzypisudolnego"/>
          <w:rFonts w:ascii="Times New Roman" w:hAnsi="Times New Roman" w:cs="Times New Roman"/>
        </w:rPr>
        <w:footnoteRef/>
      </w:r>
      <w:r w:rsidRPr="004D5B4B">
        <w:rPr>
          <w:rFonts w:ascii="Times New Roman" w:hAnsi="Times New Roman" w:cs="Times New Roman"/>
        </w:rPr>
        <w:t xml:space="preserve"> </w:t>
      </w:r>
      <w:r w:rsidRPr="004D5B4B">
        <w:rPr>
          <w:rFonts w:ascii="Times New Roman" w:eastAsia="MinionPro-Regular" w:hAnsi="Times New Roman" w:cs="Times New Roman"/>
        </w:rPr>
        <w:t>www.sakig.pl.</w:t>
      </w:r>
    </w:p>
  </w:footnote>
  <w:footnote w:id="6">
    <w:p w:rsidR="00B430B6" w:rsidRPr="004D5B4B" w:rsidRDefault="00B430B6" w:rsidP="004D5B4B">
      <w:pPr>
        <w:pStyle w:val="Tekstprzypisudolnego"/>
        <w:jc w:val="both"/>
        <w:rPr>
          <w:rFonts w:ascii="Times New Roman" w:hAnsi="Times New Roman" w:cs="Times New Roman"/>
        </w:rPr>
      </w:pPr>
      <w:r w:rsidRPr="004D5B4B">
        <w:rPr>
          <w:rStyle w:val="Odwoanieprzypisudolnego"/>
          <w:rFonts w:ascii="Times New Roman" w:hAnsi="Times New Roman" w:cs="Times New Roman"/>
        </w:rPr>
        <w:footnoteRef/>
      </w:r>
      <w:r w:rsidRPr="004D5B4B">
        <w:rPr>
          <w:rFonts w:ascii="Times New Roman" w:hAnsi="Times New Roman" w:cs="Times New Roman"/>
        </w:rPr>
        <w:t xml:space="preserve"> Zob. art. 10 Kodeksu Etyki Arbitra.</w:t>
      </w:r>
    </w:p>
  </w:footnote>
  <w:footnote w:id="7">
    <w:p w:rsidR="00D843F1" w:rsidRPr="004D5B4B" w:rsidRDefault="00D843F1" w:rsidP="004D5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sz w:val="20"/>
          <w:szCs w:val="20"/>
        </w:rPr>
      </w:pPr>
      <w:r w:rsidRPr="004D5B4B">
        <w:rPr>
          <w:rStyle w:val="Odwoanieprzypisudolnego"/>
          <w:rFonts w:ascii="Times New Roman" w:hAnsi="Times New Roman" w:cs="Times New Roman"/>
          <w:sz w:val="20"/>
          <w:szCs w:val="20"/>
        </w:rPr>
        <w:footnoteRef/>
      </w:r>
      <w:r w:rsidRPr="004D5B4B">
        <w:rPr>
          <w:rFonts w:ascii="Times New Roman" w:hAnsi="Times New Roman" w:cs="Times New Roman"/>
          <w:sz w:val="20"/>
          <w:szCs w:val="20"/>
        </w:rPr>
        <w:t xml:space="preserve"> </w:t>
      </w:r>
      <w:r w:rsidR="00620FC1" w:rsidRPr="004D5B4B">
        <w:rPr>
          <w:rFonts w:ascii="Times New Roman" w:hAnsi="Times New Roman" w:cs="Times New Roman"/>
          <w:sz w:val="20"/>
          <w:szCs w:val="20"/>
        </w:rPr>
        <w:t xml:space="preserve">T. </w:t>
      </w:r>
      <w:proofErr w:type="spellStart"/>
      <w:r w:rsidR="00620FC1" w:rsidRPr="004D5B4B">
        <w:rPr>
          <w:rFonts w:ascii="Times New Roman" w:hAnsi="Times New Roman" w:cs="Times New Roman"/>
          <w:sz w:val="20"/>
          <w:szCs w:val="20"/>
        </w:rPr>
        <w:t>Ereciński</w:t>
      </w:r>
      <w:proofErr w:type="spellEnd"/>
      <w:r w:rsidR="00620FC1" w:rsidRPr="004D5B4B">
        <w:rPr>
          <w:rFonts w:ascii="Times New Roman" w:hAnsi="Times New Roman" w:cs="Times New Roman"/>
          <w:sz w:val="20"/>
          <w:szCs w:val="20"/>
        </w:rPr>
        <w:t xml:space="preserve">, </w:t>
      </w:r>
      <w:r w:rsidRPr="004D5B4B">
        <w:rPr>
          <w:rFonts w:ascii="Times New Roman" w:hAnsi="Times New Roman" w:cs="Times New Roman"/>
          <w:sz w:val="20"/>
          <w:szCs w:val="20"/>
        </w:rPr>
        <w:t xml:space="preserve">[w:] </w:t>
      </w:r>
      <w:r w:rsidRPr="004D5B4B">
        <w:rPr>
          <w:rFonts w:ascii="Times New Roman" w:hAnsi="Times New Roman" w:cs="Times New Roman"/>
          <w:i/>
          <w:iCs/>
          <w:sz w:val="20"/>
          <w:szCs w:val="20"/>
        </w:rPr>
        <w:t>Kodeks postępowania cywilnego z komentarzem</w:t>
      </w:r>
      <w:r w:rsidR="00620FC1" w:rsidRPr="004D5B4B">
        <w:rPr>
          <w:rFonts w:ascii="Times New Roman" w:hAnsi="Times New Roman" w:cs="Times New Roman"/>
          <w:sz w:val="20"/>
          <w:szCs w:val="20"/>
        </w:rPr>
        <w:t xml:space="preserve">, red. J. </w:t>
      </w:r>
      <w:r w:rsidRPr="004D5B4B">
        <w:rPr>
          <w:rFonts w:ascii="Times New Roman" w:hAnsi="Times New Roman" w:cs="Times New Roman"/>
          <w:sz w:val="20"/>
          <w:szCs w:val="20"/>
        </w:rPr>
        <w:t xml:space="preserve">Jodłowski, K. Piasecki, t. 3, Warszawa 1989, s. 1084; </w:t>
      </w:r>
      <w:r w:rsidR="00620FC1" w:rsidRPr="004D5B4B">
        <w:rPr>
          <w:rFonts w:ascii="Times New Roman" w:hAnsi="Times New Roman" w:cs="Times New Roman"/>
          <w:sz w:val="20"/>
          <w:szCs w:val="20"/>
        </w:rPr>
        <w:t xml:space="preserve">Ł. Błaszczak, </w:t>
      </w:r>
      <w:r w:rsidRPr="004D5B4B">
        <w:rPr>
          <w:rFonts w:ascii="Times New Roman" w:hAnsi="Times New Roman" w:cs="Times New Roman"/>
          <w:sz w:val="20"/>
          <w:szCs w:val="20"/>
        </w:rPr>
        <w:t>M. Ludwik</w:t>
      </w:r>
      <w:r w:rsidRPr="004D5B4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4D5B4B" w:rsidRPr="004D5B4B">
        <w:rPr>
          <w:rFonts w:ascii="Times New Roman" w:eastAsia="MinionPro-Regular" w:hAnsi="Times New Roman" w:cs="Times New Roman"/>
          <w:i/>
          <w:sz w:val="20"/>
          <w:szCs w:val="20"/>
        </w:rPr>
        <w:t>Sądownictwo polubowne (arbitraż)</w:t>
      </w:r>
      <w:r w:rsidR="004D5B4B" w:rsidRPr="004D5B4B">
        <w:rPr>
          <w:rFonts w:ascii="Times New Roman" w:eastAsia="MinionPro-Regular" w:hAnsi="Times New Roman" w:cs="Times New Roman"/>
          <w:sz w:val="20"/>
          <w:szCs w:val="20"/>
        </w:rPr>
        <w:t>, Warszawa 2007</w:t>
      </w:r>
      <w:r w:rsidRPr="004D5B4B">
        <w:rPr>
          <w:rFonts w:ascii="Times New Roman" w:hAnsi="Times New Roman" w:cs="Times New Roman"/>
          <w:iCs/>
          <w:sz w:val="20"/>
          <w:szCs w:val="20"/>
        </w:rPr>
        <w:t>.</w:t>
      </w:r>
      <w:r w:rsidRPr="004D5B4B">
        <w:rPr>
          <w:rFonts w:ascii="Times New Roman" w:hAnsi="Times New Roman" w:cs="Times New Roman"/>
          <w:sz w:val="20"/>
          <w:szCs w:val="20"/>
        </w:rPr>
        <w:t>, s. 267</w:t>
      </w:r>
      <w:r w:rsidR="00620FC1" w:rsidRPr="004D5B4B">
        <w:rPr>
          <w:rFonts w:ascii="Times New Roman" w:hAnsi="Times New Roman" w:cs="Times New Roman"/>
          <w:sz w:val="20"/>
          <w:szCs w:val="20"/>
        </w:rPr>
        <w:t>;</w:t>
      </w:r>
      <w:r w:rsidRPr="004D5B4B">
        <w:rPr>
          <w:rFonts w:ascii="Times New Roman" w:hAnsi="Times New Roman" w:cs="Times New Roman"/>
          <w:sz w:val="20"/>
          <w:szCs w:val="20"/>
        </w:rPr>
        <w:t xml:space="preserve"> </w:t>
      </w:r>
      <w:r w:rsidR="00620FC1" w:rsidRPr="004D5B4B">
        <w:rPr>
          <w:rFonts w:ascii="Times New Roman" w:hAnsi="Times New Roman" w:cs="Times New Roman"/>
          <w:sz w:val="20"/>
          <w:szCs w:val="20"/>
        </w:rPr>
        <w:t xml:space="preserve">T. </w:t>
      </w:r>
      <w:proofErr w:type="spellStart"/>
      <w:r w:rsidR="00620FC1" w:rsidRPr="004D5B4B">
        <w:rPr>
          <w:rFonts w:ascii="Times New Roman" w:hAnsi="Times New Roman" w:cs="Times New Roman"/>
          <w:sz w:val="20"/>
          <w:szCs w:val="20"/>
        </w:rPr>
        <w:t>Ereciński</w:t>
      </w:r>
      <w:proofErr w:type="spellEnd"/>
      <w:r w:rsidR="00620FC1" w:rsidRPr="004D5B4B">
        <w:rPr>
          <w:rFonts w:ascii="Times New Roman" w:hAnsi="Times New Roman" w:cs="Times New Roman"/>
          <w:sz w:val="20"/>
          <w:szCs w:val="20"/>
        </w:rPr>
        <w:t xml:space="preserve">, </w:t>
      </w:r>
      <w:r w:rsidRPr="004D5B4B">
        <w:rPr>
          <w:rFonts w:ascii="Times New Roman" w:hAnsi="Times New Roman" w:cs="Times New Roman"/>
          <w:sz w:val="20"/>
          <w:szCs w:val="20"/>
        </w:rPr>
        <w:t>[</w:t>
      </w:r>
      <w:r w:rsidR="004D5B4B" w:rsidRPr="004D5B4B">
        <w:rPr>
          <w:rFonts w:ascii="Times New Roman" w:hAnsi="Times New Roman" w:cs="Times New Roman"/>
          <w:sz w:val="20"/>
          <w:szCs w:val="20"/>
        </w:rPr>
        <w:t xml:space="preserve">w:] J. Ciszewski, T. </w:t>
      </w:r>
      <w:proofErr w:type="spellStart"/>
      <w:r w:rsidR="004D5B4B" w:rsidRPr="004D5B4B">
        <w:rPr>
          <w:rFonts w:ascii="Times New Roman" w:hAnsi="Times New Roman" w:cs="Times New Roman"/>
          <w:sz w:val="20"/>
          <w:szCs w:val="20"/>
        </w:rPr>
        <w:t>Ereciński</w:t>
      </w:r>
      <w:proofErr w:type="spellEnd"/>
      <w:r w:rsidR="004D5B4B">
        <w:rPr>
          <w:rFonts w:ascii="Times New Roman" w:hAnsi="Times New Roman" w:cs="Times New Roman"/>
          <w:sz w:val="20"/>
          <w:szCs w:val="20"/>
        </w:rPr>
        <w:t>, (red.)</w:t>
      </w:r>
      <w:r w:rsidR="004D5B4B" w:rsidRPr="004D5B4B">
        <w:rPr>
          <w:rFonts w:ascii="Times New Roman" w:hAnsi="Times New Roman" w:cs="Times New Roman"/>
          <w:sz w:val="20"/>
          <w:szCs w:val="20"/>
        </w:rPr>
        <w:t xml:space="preserve">, </w:t>
      </w:r>
      <w:r w:rsidR="004D5B4B" w:rsidRPr="004D5B4B">
        <w:rPr>
          <w:rFonts w:ascii="Times New Roman" w:eastAsia="MinionPro-Regular" w:hAnsi="Times New Roman" w:cs="Times New Roman"/>
          <w:i/>
          <w:sz w:val="20"/>
          <w:szCs w:val="20"/>
        </w:rPr>
        <w:t>Komentarz do kodeksu postępowania cywilnego. Część</w:t>
      </w:r>
      <w:r w:rsidR="004D5B4B" w:rsidRPr="004D5B4B">
        <w:rPr>
          <w:rFonts w:ascii="Times New Roman" w:eastAsia="MinionPro-Regular" w:hAnsi="Times New Roman" w:cs="Times New Roman"/>
          <w:i/>
          <w:sz w:val="20"/>
          <w:szCs w:val="20"/>
        </w:rPr>
        <w:t xml:space="preserve"> </w:t>
      </w:r>
      <w:r w:rsidR="004D5B4B" w:rsidRPr="004D5B4B">
        <w:rPr>
          <w:rFonts w:ascii="Times New Roman" w:eastAsia="MinionPro-Regular" w:hAnsi="Times New Roman" w:cs="Times New Roman"/>
          <w:i/>
          <w:sz w:val="20"/>
          <w:szCs w:val="20"/>
        </w:rPr>
        <w:t>czwarta. Przepisy z zakresu międzynarodowego postępowania cywilnego. Część piąta. Sąd polubowny (arbitrażowy)</w:t>
      </w:r>
      <w:r w:rsidR="004D5B4B" w:rsidRPr="004D5B4B">
        <w:rPr>
          <w:rFonts w:ascii="Times New Roman" w:eastAsia="MinionPro-Regular" w:hAnsi="Times New Roman" w:cs="Times New Roman"/>
          <w:sz w:val="20"/>
          <w:szCs w:val="20"/>
        </w:rPr>
        <w:t>,</w:t>
      </w:r>
      <w:r w:rsidR="004D5B4B">
        <w:rPr>
          <w:rFonts w:ascii="Times New Roman" w:eastAsia="MinionPro-Regular" w:hAnsi="Times New Roman" w:cs="Times New Roman"/>
          <w:sz w:val="20"/>
          <w:szCs w:val="20"/>
        </w:rPr>
        <w:t xml:space="preserve"> </w:t>
      </w:r>
      <w:r w:rsidR="004D5B4B" w:rsidRPr="004D5B4B">
        <w:rPr>
          <w:rFonts w:ascii="Times New Roman" w:eastAsia="MinionPro-Regular" w:hAnsi="Times New Roman" w:cs="Times New Roman"/>
          <w:sz w:val="20"/>
          <w:szCs w:val="20"/>
        </w:rPr>
        <w:t>t. V, Warszawa 2006</w:t>
      </w:r>
      <w:r w:rsidRPr="004D5B4B">
        <w:rPr>
          <w:rFonts w:ascii="Times New Roman" w:hAnsi="Times New Roman" w:cs="Times New Roman"/>
          <w:iCs/>
          <w:sz w:val="20"/>
          <w:szCs w:val="20"/>
        </w:rPr>
        <w:t>.</w:t>
      </w:r>
      <w:r w:rsidRPr="004D5B4B">
        <w:rPr>
          <w:rFonts w:ascii="Times New Roman" w:hAnsi="Times New Roman" w:cs="Times New Roman"/>
          <w:sz w:val="20"/>
          <w:szCs w:val="20"/>
        </w:rPr>
        <w:t>, s. 443–444.</w:t>
      </w:r>
    </w:p>
  </w:footnote>
  <w:footnote w:id="8">
    <w:p w:rsidR="006A4F17" w:rsidRPr="004D5B4B" w:rsidRDefault="006A4F17" w:rsidP="004D5B4B">
      <w:pPr>
        <w:pStyle w:val="Tekstprzypisudolnego"/>
        <w:jc w:val="both"/>
        <w:rPr>
          <w:rFonts w:ascii="Times New Roman" w:hAnsi="Times New Roman" w:cs="Times New Roman"/>
        </w:rPr>
      </w:pPr>
      <w:r w:rsidRPr="004D5B4B">
        <w:rPr>
          <w:rStyle w:val="Odwoanieprzypisudolnego"/>
          <w:rFonts w:ascii="Times New Roman" w:hAnsi="Times New Roman" w:cs="Times New Roman"/>
        </w:rPr>
        <w:footnoteRef/>
      </w:r>
      <w:r w:rsidRPr="004D5B4B">
        <w:rPr>
          <w:rFonts w:ascii="Times New Roman" w:hAnsi="Times New Roman" w:cs="Times New Roman"/>
        </w:rPr>
        <w:t xml:space="preserve"> Bliżej: Ł. Błaszczak, M. Ludwik, </w:t>
      </w:r>
      <w:r w:rsidRPr="004D5B4B">
        <w:rPr>
          <w:rFonts w:ascii="Times New Roman" w:hAnsi="Times New Roman" w:cs="Times New Roman"/>
          <w:i/>
          <w:iCs/>
        </w:rPr>
        <w:t>op. cit</w:t>
      </w:r>
      <w:r w:rsidRPr="004D5B4B">
        <w:rPr>
          <w:rFonts w:ascii="Times New Roman" w:hAnsi="Times New Roman" w:cs="Times New Roman"/>
          <w:iCs/>
        </w:rPr>
        <w:t>.</w:t>
      </w:r>
      <w:r w:rsidRPr="004D5B4B">
        <w:rPr>
          <w:rFonts w:ascii="Times New Roman" w:hAnsi="Times New Roman" w:cs="Times New Roman"/>
        </w:rPr>
        <w:t>, s. 279.</w:t>
      </w:r>
    </w:p>
  </w:footnote>
  <w:footnote w:id="9">
    <w:p w:rsidR="008E4D8A" w:rsidRPr="004D5B4B" w:rsidRDefault="008E4D8A" w:rsidP="004D5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5B4B">
        <w:rPr>
          <w:rStyle w:val="Odwoanieprzypisudolnego"/>
          <w:rFonts w:ascii="Times New Roman" w:hAnsi="Times New Roman" w:cs="Times New Roman"/>
          <w:sz w:val="20"/>
          <w:szCs w:val="20"/>
        </w:rPr>
        <w:footnoteRef/>
      </w:r>
      <w:r w:rsidRPr="004D5B4B">
        <w:rPr>
          <w:rFonts w:ascii="Times New Roman" w:hAnsi="Times New Roman" w:cs="Times New Roman"/>
          <w:sz w:val="20"/>
          <w:szCs w:val="20"/>
        </w:rPr>
        <w:t xml:space="preserve"> Zob. wyrok SN z 13 grudnia 1967 r., I CR 445/67, OSNC 1968, nr 8–9, poz. 149.</w:t>
      </w:r>
    </w:p>
  </w:footnote>
  <w:footnote w:id="10">
    <w:p w:rsidR="00A44433" w:rsidRPr="004D5B4B" w:rsidRDefault="00A44433" w:rsidP="004D5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i/>
          <w:sz w:val="20"/>
          <w:szCs w:val="20"/>
        </w:rPr>
      </w:pPr>
      <w:r w:rsidRPr="004D5B4B">
        <w:rPr>
          <w:rStyle w:val="Odwoanieprzypisudolnego"/>
          <w:rFonts w:ascii="Times New Roman" w:hAnsi="Times New Roman" w:cs="Times New Roman"/>
          <w:sz w:val="20"/>
          <w:szCs w:val="20"/>
        </w:rPr>
        <w:footnoteRef/>
      </w:r>
      <w:r w:rsidRPr="004D5B4B">
        <w:rPr>
          <w:rFonts w:ascii="Times New Roman" w:hAnsi="Times New Roman" w:cs="Times New Roman"/>
          <w:sz w:val="20"/>
          <w:szCs w:val="20"/>
        </w:rPr>
        <w:t xml:space="preserve"> </w:t>
      </w:r>
      <w:r w:rsidRPr="004D5B4B">
        <w:rPr>
          <w:rFonts w:ascii="Times New Roman" w:eastAsia="MinionPro-Regular" w:hAnsi="Times New Roman" w:cs="Times New Roman"/>
          <w:sz w:val="20"/>
          <w:szCs w:val="20"/>
        </w:rPr>
        <w:t xml:space="preserve">Por. </w:t>
      </w:r>
      <w:r w:rsidRPr="004D5B4B">
        <w:rPr>
          <w:rFonts w:ascii="Times New Roman" w:eastAsia="MinionPro-It" w:hAnsi="Times New Roman" w:cs="Times New Roman"/>
          <w:iCs/>
          <w:sz w:val="20"/>
          <w:szCs w:val="20"/>
        </w:rPr>
        <w:t>M. Pilich</w:t>
      </w:r>
      <w:r w:rsidRPr="004D5B4B">
        <w:rPr>
          <w:rFonts w:ascii="Times New Roman" w:eastAsia="MinionPro-Regular" w:hAnsi="Times New Roman" w:cs="Times New Roman"/>
          <w:sz w:val="20"/>
          <w:szCs w:val="20"/>
        </w:rPr>
        <w:t xml:space="preserve">, </w:t>
      </w:r>
      <w:r w:rsidRPr="004D5B4B">
        <w:rPr>
          <w:rFonts w:ascii="Times New Roman" w:eastAsia="MinionPro-Regular" w:hAnsi="Times New Roman" w:cs="Times New Roman"/>
          <w:i/>
          <w:sz w:val="20"/>
          <w:szCs w:val="20"/>
        </w:rPr>
        <w:t>Klauzula porządku publicznego w postępowaniu o uznanie i st</w:t>
      </w:r>
      <w:bookmarkStart w:id="0" w:name="_GoBack"/>
      <w:bookmarkEnd w:id="0"/>
      <w:r w:rsidRPr="004D5B4B">
        <w:rPr>
          <w:rFonts w:ascii="Times New Roman" w:eastAsia="MinionPro-Regular" w:hAnsi="Times New Roman" w:cs="Times New Roman"/>
          <w:i/>
          <w:sz w:val="20"/>
          <w:szCs w:val="20"/>
        </w:rPr>
        <w:t>wierdzenie wykonalności</w:t>
      </w:r>
    </w:p>
    <w:p w:rsidR="00A44433" w:rsidRPr="004D5B4B" w:rsidRDefault="00A44433" w:rsidP="004D5B4B">
      <w:pPr>
        <w:pStyle w:val="Tekstprzypisudolnego"/>
        <w:jc w:val="both"/>
        <w:rPr>
          <w:rFonts w:ascii="Times New Roman" w:hAnsi="Times New Roman" w:cs="Times New Roman"/>
        </w:rPr>
      </w:pPr>
      <w:r w:rsidRPr="004D5B4B">
        <w:rPr>
          <w:rFonts w:ascii="Times New Roman" w:eastAsia="MinionPro-Regular" w:hAnsi="Times New Roman" w:cs="Times New Roman"/>
          <w:i/>
        </w:rPr>
        <w:t>zagranicznego orzeczenia arbitrażowego</w:t>
      </w:r>
      <w:r w:rsidRPr="004D5B4B">
        <w:rPr>
          <w:rFonts w:ascii="Times New Roman" w:eastAsia="MinionPro-Regular" w:hAnsi="Times New Roman" w:cs="Times New Roman"/>
        </w:rPr>
        <w:t>, KPP 2003, z. 1, przyp. 53 na s. 172- 175.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C7C2D"/>
    <w:multiLevelType w:val="hybridMultilevel"/>
    <w:tmpl w:val="FD8C70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90EA1"/>
    <w:multiLevelType w:val="hybridMultilevel"/>
    <w:tmpl w:val="9E50E4E0"/>
    <w:lvl w:ilvl="0" w:tplc="8E2258C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02"/>
    <w:rsid w:val="00021EEA"/>
    <w:rsid w:val="000965A8"/>
    <w:rsid w:val="000A6894"/>
    <w:rsid w:val="000B36A4"/>
    <w:rsid w:val="000C01B7"/>
    <w:rsid w:val="000D6F96"/>
    <w:rsid w:val="000F15C4"/>
    <w:rsid w:val="0010137E"/>
    <w:rsid w:val="00114526"/>
    <w:rsid w:val="001C20AF"/>
    <w:rsid w:val="0020475D"/>
    <w:rsid w:val="002A23FC"/>
    <w:rsid w:val="002B567D"/>
    <w:rsid w:val="00305DB3"/>
    <w:rsid w:val="00305FF8"/>
    <w:rsid w:val="00311111"/>
    <w:rsid w:val="00387287"/>
    <w:rsid w:val="003E3B1E"/>
    <w:rsid w:val="003F656D"/>
    <w:rsid w:val="004018DA"/>
    <w:rsid w:val="0045744F"/>
    <w:rsid w:val="00477C5A"/>
    <w:rsid w:val="004B6679"/>
    <w:rsid w:val="004D5925"/>
    <w:rsid w:val="004D5B4B"/>
    <w:rsid w:val="0053606C"/>
    <w:rsid w:val="00545BB0"/>
    <w:rsid w:val="0056594F"/>
    <w:rsid w:val="005671FF"/>
    <w:rsid w:val="005C18EF"/>
    <w:rsid w:val="00601959"/>
    <w:rsid w:val="0061183A"/>
    <w:rsid w:val="0061253E"/>
    <w:rsid w:val="00620FC1"/>
    <w:rsid w:val="00662BB7"/>
    <w:rsid w:val="006A4F17"/>
    <w:rsid w:val="006A66E6"/>
    <w:rsid w:val="006B40D7"/>
    <w:rsid w:val="006B5474"/>
    <w:rsid w:val="006F36E0"/>
    <w:rsid w:val="00786FB1"/>
    <w:rsid w:val="007A2350"/>
    <w:rsid w:val="007A7501"/>
    <w:rsid w:val="007B21C7"/>
    <w:rsid w:val="007D72DB"/>
    <w:rsid w:val="007E39F5"/>
    <w:rsid w:val="00804B6B"/>
    <w:rsid w:val="00823421"/>
    <w:rsid w:val="00847C28"/>
    <w:rsid w:val="008C07D5"/>
    <w:rsid w:val="008C2665"/>
    <w:rsid w:val="008E1B5B"/>
    <w:rsid w:val="008E4D8A"/>
    <w:rsid w:val="00913EA4"/>
    <w:rsid w:val="00915CA1"/>
    <w:rsid w:val="009401C3"/>
    <w:rsid w:val="009602BE"/>
    <w:rsid w:val="00971E4D"/>
    <w:rsid w:val="009B59D4"/>
    <w:rsid w:val="009D7094"/>
    <w:rsid w:val="009F4750"/>
    <w:rsid w:val="00A101E1"/>
    <w:rsid w:val="00A248C4"/>
    <w:rsid w:val="00A26D68"/>
    <w:rsid w:val="00A340D3"/>
    <w:rsid w:val="00A44433"/>
    <w:rsid w:val="00A449D9"/>
    <w:rsid w:val="00A928FA"/>
    <w:rsid w:val="00A9296B"/>
    <w:rsid w:val="00A972F3"/>
    <w:rsid w:val="00AB019C"/>
    <w:rsid w:val="00AD110F"/>
    <w:rsid w:val="00AF33E9"/>
    <w:rsid w:val="00AF7EEE"/>
    <w:rsid w:val="00B16880"/>
    <w:rsid w:val="00B430B6"/>
    <w:rsid w:val="00B47311"/>
    <w:rsid w:val="00B65614"/>
    <w:rsid w:val="00BB21CD"/>
    <w:rsid w:val="00BB35CD"/>
    <w:rsid w:val="00BC10CF"/>
    <w:rsid w:val="00BC1FA9"/>
    <w:rsid w:val="00BD55BC"/>
    <w:rsid w:val="00C01781"/>
    <w:rsid w:val="00C368EA"/>
    <w:rsid w:val="00C74FB5"/>
    <w:rsid w:val="00C76924"/>
    <w:rsid w:val="00CB310A"/>
    <w:rsid w:val="00CF6E87"/>
    <w:rsid w:val="00D056A8"/>
    <w:rsid w:val="00D10BB8"/>
    <w:rsid w:val="00D11495"/>
    <w:rsid w:val="00D1594E"/>
    <w:rsid w:val="00D44C94"/>
    <w:rsid w:val="00D555FE"/>
    <w:rsid w:val="00D73D95"/>
    <w:rsid w:val="00D843F1"/>
    <w:rsid w:val="00DA278B"/>
    <w:rsid w:val="00DB083B"/>
    <w:rsid w:val="00DC1C81"/>
    <w:rsid w:val="00E1771D"/>
    <w:rsid w:val="00E20D53"/>
    <w:rsid w:val="00E35E7F"/>
    <w:rsid w:val="00E56C4C"/>
    <w:rsid w:val="00E80D0E"/>
    <w:rsid w:val="00E82902"/>
    <w:rsid w:val="00E84F37"/>
    <w:rsid w:val="00E90172"/>
    <w:rsid w:val="00E90BB8"/>
    <w:rsid w:val="00E97C0A"/>
    <w:rsid w:val="00EC78BA"/>
    <w:rsid w:val="00ED2181"/>
    <w:rsid w:val="00EF4753"/>
    <w:rsid w:val="00EF7E13"/>
    <w:rsid w:val="00F00C35"/>
    <w:rsid w:val="00F15468"/>
    <w:rsid w:val="00F22FCA"/>
    <w:rsid w:val="00F438F7"/>
    <w:rsid w:val="00F60D27"/>
    <w:rsid w:val="00F63FBB"/>
    <w:rsid w:val="00F87DBA"/>
    <w:rsid w:val="00F9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26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82902"/>
    <w:pPr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592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592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5925"/>
    <w:rPr>
      <w:vertAlign w:val="superscript"/>
    </w:rPr>
  </w:style>
  <w:style w:type="paragraph" w:customStyle="1" w:styleId="Default">
    <w:name w:val="Default"/>
    <w:rsid w:val="008C26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9B59D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22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26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82902"/>
    <w:pPr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592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592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5925"/>
    <w:rPr>
      <w:vertAlign w:val="superscript"/>
    </w:rPr>
  </w:style>
  <w:style w:type="paragraph" w:customStyle="1" w:styleId="Default">
    <w:name w:val="Default"/>
    <w:rsid w:val="008C26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9B59D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2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1D108-F759-4572-8A52-0CE8287A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1420</Words>
  <Characters>9290</Characters>
  <Application>Microsoft Office Word</Application>
  <DocSecurity>0</DocSecurity>
  <Lines>172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35</cp:revision>
  <cp:lastPrinted>2012-03-31T11:34:00Z</cp:lastPrinted>
  <dcterms:created xsi:type="dcterms:W3CDTF">2012-02-25T12:10:00Z</dcterms:created>
  <dcterms:modified xsi:type="dcterms:W3CDTF">2012-03-31T11:35:00Z</dcterms:modified>
</cp:coreProperties>
</file>