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6F7" w:rsidRPr="002C36F7" w:rsidRDefault="002C36F7" w:rsidP="002C36F7">
      <w:pPr>
        <w:pStyle w:val="Zwykytekst"/>
        <w:keepNext/>
        <w:keepLines/>
        <w:widowControl/>
        <w:jc w:val="center"/>
        <w:outlineLvl w:val="0"/>
        <w:rPr>
          <w:rFonts w:ascii="Times New Roman" w:hAnsi="Times New Roman"/>
          <w:b/>
          <w:sz w:val="16"/>
          <w:szCs w:val="16"/>
          <w:lang w:val="pl-PL"/>
        </w:rPr>
      </w:pPr>
      <w:r w:rsidRPr="002C36F7">
        <w:rPr>
          <w:rFonts w:ascii="Times New Roman" w:hAnsi="Times New Roman"/>
          <w:b/>
          <w:sz w:val="16"/>
          <w:szCs w:val="16"/>
          <w:lang w:val="pl-PL"/>
        </w:rPr>
        <w:t>TWE</w:t>
      </w: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REGUŁY KONKURENCJI</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Sekcja 1</w:t>
      </w: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Reguły mające zastosowanie do przedsiębiorstw</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Artykuł 81</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1. Niezgodne ze wspólnym rynkiem i zakazane są wszelkie porozumienia między przedsiębiorstwami, wszelkie decyzje związków przedsiębiorstw i wszelkie praktyki uzgodnione, które mogą wpływać na handel między Państwami Członkowskimi i których celem lub skutkiem jest zapobieżenie, ograniczenie lub zakłócenie konkurencji wewnątrz wspólnego rynku, a w szczególności te, które polegają na: </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a)</w:t>
      </w:r>
      <w:r w:rsidRPr="002C36F7">
        <w:rPr>
          <w:rFonts w:ascii="Times New Roman" w:hAnsi="Times New Roman"/>
          <w:sz w:val="16"/>
          <w:szCs w:val="16"/>
          <w:lang w:val="pl-PL"/>
        </w:rPr>
        <w:tab/>
        <w:t>ustalaniu w sposób bezpośredni lub pośredni cen zakupu lub sprzedaży albo innych warunków transakcji,</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b)</w:t>
      </w:r>
      <w:r w:rsidRPr="002C36F7">
        <w:rPr>
          <w:rFonts w:ascii="Times New Roman" w:hAnsi="Times New Roman"/>
          <w:sz w:val="16"/>
          <w:szCs w:val="16"/>
          <w:lang w:val="pl-PL"/>
        </w:rPr>
        <w:tab/>
        <w:t>ograniczaniu lub kontrolowaniu produkcji, rynków, rozwoju technicznego lub inwestycji,</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c)</w:t>
      </w:r>
      <w:r w:rsidRPr="002C36F7">
        <w:rPr>
          <w:rFonts w:ascii="Times New Roman" w:hAnsi="Times New Roman"/>
          <w:sz w:val="16"/>
          <w:szCs w:val="16"/>
          <w:lang w:val="pl-PL"/>
        </w:rPr>
        <w:tab/>
        <w:t>podziale rynków lub źródeł zaopatrzenia,</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d)</w:t>
      </w:r>
      <w:r w:rsidRPr="002C36F7">
        <w:rPr>
          <w:rFonts w:ascii="Times New Roman" w:hAnsi="Times New Roman"/>
          <w:sz w:val="16"/>
          <w:szCs w:val="16"/>
          <w:lang w:val="pl-PL"/>
        </w:rPr>
        <w:tab/>
        <w:t>stosowaniu wobec partnerów handlowych nierównych warunków do świadczeń równoważnych i stwarzaniu im przez to niekorzystnych warunków konkurencji,</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e)</w:t>
      </w:r>
      <w:r w:rsidRPr="002C36F7">
        <w:rPr>
          <w:rFonts w:ascii="Times New Roman" w:hAnsi="Times New Roman"/>
          <w:sz w:val="16"/>
          <w:szCs w:val="16"/>
          <w:lang w:val="pl-PL"/>
        </w:rPr>
        <w:tab/>
        <w:t xml:space="preserve">uzależnianiu zawarcia kontraktów od przyjęcia przez partnerów zobowiązań dodatkowych, które ze względu na swój charakter lub zwyczaje handlowe nie mają związku z przedmiotem tych kontraktów.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2. Porozumienia lub decyzje zakazane na mocy niniejszego artykułu są nieważne z mocy prawa.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3. Jednakże postanowienia ustępu 1 mogą zostać uznane za nie mające zastosowania do: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numPr>
          <w:ilvl w:val="0"/>
          <w:numId w:val="1"/>
        </w:numPr>
        <w:ind w:left="851" w:hanging="284"/>
        <w:rPr>
          <w:rFonts w:ascii="Times New Roman" w:hAnsi="Times New Roman"/>
          <w:sz w:val="16"/>
          <w:szCs w:val="16"/>
          <w:lang w:val="pl-PL"/>
        </w:rPr>
      </w:pPr>
      <w:r w:rsidRPr="002C36F7">
        <w:rPr>
          <w:rFonts w:ascii="Times New Roman" w:hAnsi="Times New Roman"/>
          <w:sz w:val="16"/>
          <w:szCs w:val="16"/>
          <w:lang w:val="pl-PL"/>
        </w:rPr>
        <w:t>każdego porozumienia lub kategorii porozumień między przedsiębiorstwami,</w:t>
      </w:r>
    </w:p>
    <w:p w:rsidR="002C36F7" w:rsidRPr="002C36F7" w:rsidRDefault="002C36F7" w:rsidP="002C36F7">
      <w:pPr>
        <w:pStyle w:val="Zwykytekst"/>
        <w:widowControl/>
        <w:numPr>
          <w:ilvl w:val="0"/>
          <w:numId w:val="1"/>
        </w:numPr>
        <w:ind w:left="851" w:hanging="284"/>
        <w:rPr>
          <w:rFonts w:ascii="Times New Roman" w:hAnsi="Times New Roman"/>
          <w:sz w:val="16"/>
          <w:szCs w:val="16"/>
          <w:lang w:val="pl-PL"/>
        </w:rPr>
      </w:pPr>
      <w:r w:rsidRPr="002C36F7">
        <w:rPr>
          <w:rFonts w:ascii="Times New Roman" w:hAnsi="Times New Roman"/>
          <w:sz w:val="16"/>
          <w:szCs w:val="16"/>
          <w:lang w:val="pl-PL"/>
        </w:rPr>
        <w:t>każdej decyzji lub kategorii decyzji związków przedsiębiorstw,</w:t>
      </w:r>
    </w:p>
    <w:p w:rsidR="002C36F7" w:rsidRPr="002C36F7" w:rsidRDefault="002C36F7" w:rsidP="002C36F7">
      <w:pPr>
        <w:pStyle w:val="Zwykytekst"/>
        <w:widowControl/>
        <w:numPr>
          <w:ilvl w:val="0"/>
          <w:numId w:val="1"/>
        </w:numPr>
        <w:ind w:left="851" w:hanging="284"/>
        <w:rPr>
          <w:rFonts w:ascii="Times New Roman" w:hAnsi="Times New Roman"/>
          <w:sz w:val="16"/>
          <w:szCs w:val="16"/>
          <w:lang w:val="pl-PL"/>
        </w:rPr>
      </w:pPr>
      <w:r w:rsidRPr="002C36F7">
        <w:rPr>
          <w:rFonts w:ascii="Times New Roman" w:hAnsi="Times New Roman"/>
          <w:sz w:val="16"/>
          <w:szCs w:val="16"/>
          <w:lang w:val="pl-PL"/>
        </w:rPr>
        <w:t>każdej praktyki uzgodnionej lub kategorii praktyk uzgodnionych,</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które przyczyniają się do polepszenia produkcji lub dystrybucji produktów bądź do popierania postępu technicznego lub gospodarczego, przy zastrzeżeniu dla użytkowników słusznej części zysku, który z tego wynika, oraz bez: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a)</w:t>
      </w:r>
      <w:r w:rsidRPr="002C36F7">
        <w:rPr>
          <w:rFonts w:ascii="Times New Roman" w:hAnsi="Times New Roman"/>
          <w:sz w:val="16"/>
          <w:szCs w:val="16"/>
          <w:lang w:val="pl-PL"/>
        </w:rPr>
        <w:tab/>
        <w:t>nakładania na zainteresowane przedsiębiorstwa ograniczeń, które nie są niezbędne do osiągnięcia tych celów,</w:t>
      </w:r>
    </w:p>
    <w:p w:rsidR="002C36F7" w:rsidRPr="002C36F7" w:rsidRDefault="002C36F7" w:rsidP="002C36F7">
      <w:pPr>
        <w:pStyle w:val="Zwykytekst"/>
        <w:widowControl/>
        <w:ind w:left="851" w:hanging="284"/>
        <w:rPr>
          <w:rFonts w:ascii="Times New Roman" w:hAnsi="Times New Roman"/>
          <w:sz w:val="16"/>
          <w:szCs w:val="16"/>
          <w:lang w:val="pl-PL"/>
        </w:rPr>
      </w:pPr>
      <w:r w:rsidRPr="002C36F7">
        <w:rPr>
          <w:rFonts w:ascii="Times New Roman" w:hAnsi="Times New Roman"/>
          <w:sz w:val="16"/>
          <w:szCs w:val="16"/>
          <w:lang w:val="pl-PL"/>
        </w:rPr>
        <w:t>b)</w:t>
      </w:r>
      <w:r w:rsidRPr="002C36F7">
        <w:rPr>
          <w:rFonts w:ascii="Times New Roman" w:hAnsi="Times New Roman"/>
          <w:sz w:val="16"/>
          <w:szCs w:val="16"/>
          <w:lang w:val="pl-PL"/>
        </w:rPr>
        <w:tab/>
        <w:t xml:space="preserve">dawania przedsiębiorstwom możliwości eliminowania konkurencji w stosunku do znacznej części danych produktów. </w:t>
      </w:r>
    </w:p>
    <w:p w:rsidR="006D34FE" w:rsidRPr="002C36F7" w:rsidRDefault="006D34FE" w:rsidP="002C36F7">
      <w:pPr>
        <w:spacing w:after="0" w:line="240" w:lineRule="auto"/>
        <w:rPr>
          <w:sz w:val="16"/>
          <w:szCs w:val="16"/>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Sekcja 2</w:t>
      </w: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Pomoc przyznawana przez Państwa</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Artykuł 87</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1. Z zastrzeżeniem innych postanowień przewidzianych w niniejszym Traktacie, wszelka pomoc przyznawana przez Państwo Członkowskie lub przy użyciu zasobów państwowych w jakiejkolwiek formie, która zakłóca lub grozi zakłóceniem konkurencji poprzez sprzyjanie niektórym przedsiębiorstwom lub produkcji niektórych towarów, jest niezgodna ze wspólnym rynkiem w zakresie, w jakim wpływa na wymianę handlową między Państwami Członkowskimi.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2. Zgodna ze wspólnym rynkiem jest: </w:t>
      </w:r>
    </w:p>
    <w:p w:rsidR="002C36F7" w:rsidRPr="002C36F7" w:rsidRDefault="002C36F7" w:rsidP="002C36F7">
      <w:pPr>
        <w:pStyle w:val="Zwykytekst"/>
        <w:widowControl/>
        <w:ind w:left="993" w:hanging="285"/>
        <w:rPr>
          <w:rFonts w:ascii="Times New Roman" w:hAnsi="Times New Roman"/>
          <w:sz w:val="16"/>
          <w:szCs w:val="16"/>
          <w:lang w:val="pl-PL"/>
        </w:rPr>
      </w:pPr>
      <w:r w:rsidRPr="002C36F7">
        <w:rPr>
          <w:rFonts w:ascii="Times New Roman" w:hAnsi="Times New Roman"/>
          <w:sz w:val="16"/>
          <w:szCs w:val="16"/>
          <w:lang w:val="pl-PL"/>
        </w:rPr>
        <w:t>a) pomoc o charakterze socjalnym przyznawana indywidualnym konsumentom, pod warunkiem, że jest przyznawana bez dyskryminacji związanej z pochodzeniem produktów,</w:t>
      </w:r>
    </w:p>
    <w:p w:rsidR="002C36F7" w:rsidRPr="002C36F7" w:rsidRDefault="002C36F7" w:rsidP="002C36F7">
      <w:pPr>
        <w:pStyle w:val="Zwykytekst"/>
        <w:widowControl/>
        <w:ind w:left="993" w:hanging="285"/>
        <w:rPr>
          <w:rFonts w:ascii="Times New Roman" w:hAnsi="Times New Roman"/>
          <w:sz w:val="16"/>
          <w:szCs w:val="16"/>
          <w:lang w:val="pl-PL"/>
        </w:rPr>
      </w:pPr>
      <w:r w:rsidRPr="002C36F7">
        <w:rPr>
          <w:rFonts w:ascii="Times New Roman" w:hAnsi="Times New Roman"/>
          <w:sz w:val="16"/>
          <w:szCs w:val="16"/>
          <w:lang w:val="pl-PL"/>
        </w:rPr>
        <w:t>b) pomoc mająca na celu naprawienie szkód spowodowanych klęskami żywiołowymi lub innymi zdarzeniami nadzwyczajnymi,</w:t>
      </w:r>
    </w:p>
    <w:p w:rsidR="002C36F7" w:rsidRPr="002C36F7" w:rsidRDefault="002C36F7" w:rsidP="002C36F7">
      <w:pPr>
        <w:pStyle w:val="Zwykytekst"/>
        <w:widowControl/>
        <w:ind w:left="993" w:hanging="285"/>
        <w:rPr>
          <w:rFonts w:ascii="Times New Roman" w:hAnsi="Times New Roman"/>
          <w:sz w:val="16"/>
          <w:szCs w:val="16"/>
          <w:lang w:val="pl-PL"/>
        </w:rPr>
      </w:pPr>
      <w:r w:rsidRPr="002C36F7">
        <w:rPr>
          <w:rFonts w:ascii="Times New Roman" w:hAnsi="Times New Roman"/>
          <w:sz w:val="16"/>
          <w:szCs w:val="16"/>
          <w:lang w:val="pl-PL"/>
        </w:rPr>
        <w:t xml:space="preserve">c) pomoc przyznawana gospodarce niektórych regionów Republiki Federalnej Niemiec dotkniętych podziałem Niemiec, w zakresie, w jakim jest niezbędna do skompensowania niekorzystnych skutków gospodarczych spowodowanych tym podziałem.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3. Za zgodną ze wspólnym rynkiem może zostać uznana: </w:t>
      </w:r>
    </w:p>
    <w:p w:rsidR="002C36F7" w:rsidRPr="002C36F7" w:rsidRDefault="002C36F7" w:rsidP="002C36F7">
      <w:pPr>
        <w:pStyle w:val="Zwykytekst"/>
        <w:widowControl/>
        <w:ind w:left="993" w:hanging="284"/>
        <w:rPr>
          <w:rFonts w:ascii="Times New Roman" w:hAnsi="Times New Roman"/>
          <w:sz w:val="16"/>
          <w:szCs w:val="16"/>
          <w:lang w:val="pl-PL"/>
        </w:rPr>
      </w:pPr>
      <w:r w:rsidRPr="002C36F7">
        <w:rPr>
          <w:rFonts w:ascii="Times New Roman" w:hAnsi="Times New Roman"/>
          <w:sz w:val="16"/>
          <w:szCs w:val="16"/>
          <w:lang w:val="pl-PL"/>
        </w:rPr>
        <w:t>a) pomoc przeznaczona na sprzyjanie rozwojowi gospodarczemu regionów, w których poziom życia jest nienormalnie niski lub regionów, w których istnieje poważny stan niedostatecznego zatrudnienia;</w:t>
      </w:r>
    </w:p>
    <w:p w:rsidR="002C36F7" w:rsidRPr="002C36F7" w:rsidRDefault="002C36F7" w:rsidP="002C36F7">
      <w:pPr>
        <w:pStyle w:val="Zwykytekst"/>
        <w:widowControl/>
        <w:ind w:left="993" w:hanging="284"/>
        <w:rPr>
          <w:rFonts w:ascii="Times New Roman" w:hAnsi="Times New Roman"/>
          <w:sz w:val="16"/>
          <w:szCs w:val="16"/>
          <w:lang w:val="pl-PL"/>
        </w:rPr>
      </w:pPr>
      <w:r w:rsidRPr="002C36F7">
        <w:rPr>
          <w:rFonts w:ascii="Times New Roman" w:hAnsi="Times New Roman"/>
          <w:sz w:val="16"/>
          <w:szCs w:val="16"/>
          <w:lang w:val="pl-PL"/>
        </w:rPr>
        <w:t>b) pomoc przeznaczona na wspieranie realizacji ważnych projektów stanowiących przedmiot wspólnego europejskiego zainteresowania lub mająca na celu zaradzenie poważnym zaburzeniom w gospodarce Państwa Członkowskiego;</w:t>
      </w:r>
    </w:p>
    <w:p w:rsidR="002C36F7" w:rsidRPr="002C36F7" w:rsidRDefault="002C36F7" w:rsidP="002C36F7">
      <w:pPr>
        <w:pStyle w:val="Zwykytekst"/>
        <w:widowControl/>
        <w:ind w:left="993" w:hanging="284"/>
        <w:rPr>
          <w:rFonts w:ascii="Times New Roman" w:hAnsi="Times New Roman"/>
          <w:sz w:val="16"/>
          <w:szCs w:val="16"/>
          <w:lang w:val="pl-PL"/>
        </w:rPr>
      </w:pPr>
      <w:r w:rsidRPr="002C36F7">
        <w:rPr>
          <w:rFonts w:ascii="Times New Roman" w:hAnsi="Times New Roman"/>
          <w:sz w:val="16"/>
          <w:szCs w:val="16"/>
          <w:lang w:val="pl-PL"/>
        </w:rPr>
        <w:t>c) pomoc przeznaczona na ułatwianie rozwoju niektórych działań gospodarczych lub niektórych regionów gospodarczych, o ile nie zmienia warunków wymiany handlowej w zakresie sprzecznym ze wspólnym interesem;</w:t>
      </w:r>
    </w:p>
    <w:p w:rsidR="002C36F7" w:rsidRPr="002C36F7" w:rsidRDefault="002C36F7" w:rsidP="002C36F7">
      <w:pPr>
        <w:pStyle w:val="Zwykytekst"/>
        <w:widowControl/>
        <w:ind w:left="993" w:hanging="284"/>
        <w:rPr>
          <w:rFonts w:ascii="Times New Roman" w:hAnsi="Times New Roman"/>
          <w:sz w:val="16"/>
          <w:szCs w:val="16"/>
          <w:lang w:val="pl-PL"/>
        </w:rPr>
      </w:pPr>
      <w:r w:rsidRPr="002C36F7">
        <w:rPr>
          <w:rFonts w:ascii="Times New Roman" w:hAnsi="Times New Roman"/>
          <w:sz w:val="16"/>
          <w:szCs w:val="16"/>
          <w:lang w:val="pl-PL"/>
        </w:rPr>
        <w:t>d) pomoc przeznaczona na wspieranie kultury i zachowanie dziedzictwa kulturowego, o ile nie zmienia warunków wymiany handlowej i konkurencji we Wspólnocie w zakresie sprzecznym ze wspólnym interesem;</w:t>
      </w:r>
    </w:p>
    <w:p w:rsidR="002C36F7" w:rsidRPr="002C36F7" w:rsidRDefault="002C36F7" w:rsidP="002C36F7">
      <w:pPr>
        <w:pStyle w:val="Zwykytekst"/>
        <w:widowControl/>
        <w:ind w:left="993" w:hanging="284"/>
        <w:rPr>
          <w:rFonts w:ascii="Times New Roman" w:hAnsi="Times New Roman"/>
          <w:sz w:val="16"/>
          <w:szCs w:val="16"/>
          <w:lang w:val="pl-PL"/>
        </w:rPr>
      </w:pPr>
      <w:r w:rsidRPr="002C36F7">
        <w:rPr>
          <w:rFonts w:ascii="Times New Roman" w:hAnsi="Times New Roman"/>
          <w:sz w:val="16"/>
          <w:szCs w:val="16"/>
          <w:lang w:val="pl-PL"/>
        </w:rPr>
        <w:t xml:space="preserve">e) inne kategorie pomocy, jakie Rada może określić decyzją, stanowiąc większością kwalifikowaną, na wniosek Komisji. </w:t>
      </w:r>
    </w:p>
    <w:p w:rsidR="002C36F7" w:rsidRPr="002C36F7" w:rsidRDefault="002C36F7" w:rsidP="002C36F7">
      <w:pPr>
        <w:pStyle w:val="Zwykytekst"/>
        <w:widowControl/>
        <w:ind w:left="709" w:hanging="709"/>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Artykuł 88</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1. Komisja we współpracy z Państwami Członkowskimi stale bada systemy pomocy istniejące w tych Państwach. Proponuje im ona stosowne środki konieczne ze względu na stopniowy rozwój lub funkcjonowanie wspólnego rynku.</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2. Jeśli Komisja stwierdzi, po wezwaniu zainteresowanych stron do przedstawienia uwag, że pomoc przyznana przez Państwo lub przy użyciu zasobów państwowych nie jest zgodna ze wspólnym rynkiem w rozumieniu artykułu 87, lub że pomoc ta jest nadużywana, decyduje o zniesieniu lub zmianie tej pomocy przez dane Państwo w terminie, który ona określa. </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Jeśli dane Państwo nie zastosuje się do tej decyzji w wyznaczonym terminie, Komisja lub każde inne zainteresowane Państwo może, na zasadzie odstępstwa od postanowień artykułów 226 i 227, wnieść sprawę bezpośrednio do Trybunału Sprawiedliwości. </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Na wniosek Państwa Członkowskiego Rada, stanowiąc jednomyślnie, może zdecydować, że pomoc, którą to Państwo przyznaje lub zamierza przyznać, jest uznana za zgodną ze wspólnym rynkiem, na zasadzie odstępstwa od postanowień artykułu 87 lub rozporządzeń przewidzianych w artykule 89, jeśli wyjątkowe okoliczności uzasadniają taką decyzję. Jeśli w odniesieniu do danej pomocy Komisja wszczęła procedurę przewidzianą w pierwszym akapicie niniejszego ustępu, wystąpienie zainteresowanego Państwa z wnioskiem skierowanym do Rady powoduje zawieszenie tej procedury do czasu zajęcia stanowiska przez Radę. </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Jednakże jeśli Rada nie zajmie stanowiska w terminie trzech miesięcy od wystąpienia z wnioskiem, Komisja wydaje decyzję w sprawie.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3. Komisja jest informowana, w czasie odpowiednim do przedstawienia swych uwag, o wszelkich planach przyznania lub zmiany pomocy. Jeśli uznaje ona, że plan nie jest zgodny ze wspólnym rynkiem w rozumieniu artykułu 87, wszczyna bezzwłocznie procedurę przewidzianą w ustępie 2. Dane Państwo Członkowskie nie może wprowadzać w życie projektowanych środków dopóki procedura ta nie doprowadzi do wydania decyzji końcowej. </w:t>
      </w:r>
    </w:p>
    <w:p w:rsidR="002C36F7" w:rsidRPr="002C36F7" w:rsidRDefault="002C36F7" w:rsidP="002C36F7">
      <w:pPr>
        <w:pStyle w:val="Zwykytekst"/>
        <w:widowControl/>
        <w:rPr>
          <w:rFonts w:ascii="Times New Roman" w:hAnsi="Times New Roman"/>
          <w:sz w:val="16"/>
          <w:szCs w:val="16"/>
          <w:lang w:val="pl-PL"/>
        </w:rPr>
      </w:pPr>
    </w:p>
    <w:p w:rsidR="002C36F7" w:rsidRPr="002C36F7" w:rsidRDefault="002C36F7" w:rsidP="002C36F7">
      <w:pPr>
        <w:pStyle w:val="Zwykytekst"/>
        <w:keepNext/>
        <w:keepLines/>
        <w:widowControl/>
        <w:jc w:val="center"/>
        <w:outlineLvl w:val="0"/>
        <w:rPr>
          <w:rFonts w:ascii="Times New Roman" w:hAnsi="Times New Roman"/>
          <w:sz w:val="16"/>
          <w:szCs w:val="16"/>
          <w:lang w:val="pl-PL"/>
        </w:rPr>
      </w:pPr>
      <w:r w:rsidRPr="002C36F7">
        <w:rPr>
          <w:rFonts w:ascii="Times New Roman" w:hAnsi="Times New Roman"/>
          <w:sz w:val="16"/>
          <w:szCs w:val="16"/>
          <w:lang w:val="pl-PL"/>
        </w:rPr>
        <w:t>Artykuł 89</w:t>
      </w:r>
    </w:p>
    <w:p w:rsidR="002C36F7" w:rsidRPr="002C36F7" w:rsidRDefault="002C36F7" w:rsidP="002C36F7">
      <w:pPr>
        <w:pStyle w:val="Zwykytekst"/>
        <w:widowControl/>
        <w:rPr>
          <w:rFonts w:ascii="Times New Roman" w:hAnsi="Times New Roman"/>
          <w:sz w:val="16"/>
          <w:szCs w:val="16"/>
          <w:lang w:val="pl-PL"/>
        </w:rPr>
      </w:pPr>
      <w:r w:rsidRPr="002C36F7">
        <w:rPr>
          <w:rFonts w:ascii="Times New Roman" w:hAnsi="Times New Roman"/>
          <w:sz w:val="16"/>
          <w:szCs w:val="16"/>
          <w:lang w:val="pl-PL"/>
        </w:rPr>
        <w:t xml:space="preserve">Rada, stanowiąc większością kwalifikowaną na wniosek Komisji i po konsultacji z Parlamentem Europejskim, może wydać wszelkie właściwe rozporządzenia w celu zastosowania artykułów 87 i 88, a w szczególności może określić warunki stosowania artykułu 88 ustęp 3 i kategorie pomocy zwolnione z tej procedury. </w:t>
      </w:r>
    </w:p>
    <w:p w:rsidR="002C36F7" w:rsidRPr="002C36F7" w:rsidRDefault="002C36F7" w:rsidP="002C36F7">
      <w:pPr>
        <w:spacing w:after="0" w:line="240" w:lineRule="auto"/>
        <w:rPr>
          <w:sz w:val="16"/>
          <w:szCs w:val="16"/>
        </w:rPr>
      </w:pPr>
    </w:p>
    <w:sectPr w:rsidR="002C36F7" w:rsidRPr="002C36F7" w:rsidSect="002C36F7">
      <w:pgSz w:w="11906" w:h="16838"/>
      <w:pgMar w:top="284" w:right="284" w:bottom="851"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4F8F"/>
    <w:multiLevelType w:val="multilevel"/>
    <w:tmpl w:val="58343D4A"/>
    <w:lvl w:ilvl="0">
      <w:numFmt w:val="bullet"/>
      <w:lvlText w:val="-"/>
      <w:lvlJc w:val="left"/>
      <w:pPr>
        <w:tabs>
          <w:tab w:val="num" w:pos="720"/>
        </w:tabs>
        <w:ind w:left="720" w:hanging="720"/>
      </w:pPr>
      <w:rPr>
        <w:rFonts w:ascii="Courier New" w:hAnsi="Courier New" w:cs="Times New Roman" w:hint="default"/>
        <w:color w:val="80008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C36F7"/>
    <w:rsid w:val="002C36F7"/>
    <w:rsid w:val="006D34FE"/>
    <w:rsid w:val="00783D4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34F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semiHidden/>
    <w:unhideWhenUsed/>
    <w:rsid w:val="002C36F7"/>
    <w:pPr>
      <w:widowControl w:val="0"/>
      <w:overflowPunct w:val="0"/>
      <w:autoSpaceDE w:val="0"/>
      <w:autoSpaceDN w:val="0"/>
      <w:adjustRightInd w:val="0"/>
      <w:snapToGrid w:val="0"/>
      <w:spacing w:after="0" w:line="240" w:lineRule="auto"/>
      <w:jc w:val="both"/>
    </w:pPr>
    <w:rPr>
      <w:rFonts w:ascii="Courier New" w:eastAsia="Times New Roman" w:hAnsi="Courier New" w:cs="Times New Roman"/>
      <w:sz w:val="20"/>
      <w:szCs w:val="20"/>
      <w:lang w:val="en-GB" w:eastAsia="pl-PL"/>
    </w:rPr>
  </w:style>
  <w:style w:type="character" w:customStyle="1" w:styleId="ZwykytekstZnak">
    <w:name w:val="Zwykły tekst Znak"/>
    <w:basedOn w:val="Domylnaczcionkaakapitu"/>
    <w:link w:val="Zwykytekst"/>
    <w:semiHidden/>
    <w:rsid w:val="002C36F7"/>
    <w:rPr>
      <w:rFonts w:ascii="Courier New" w:eastAsia="Times New Roman" w:hAnsi="Courier New" w:cs="Times New Roman"/>
      <w:sz w:val="20"/>
      <w:szCs w:val="20"/>
      <w:lang w:val="en-GB" w:eastAsia="pl-PL"/>
    </w:rPr>
  </w:style>
</w:styles>
</file>

<file path=word/webSettings.xml><?xml version="1.0" encoding="utf-8"?>
<w:webSettings xmlns:r="http://schemas.openxmlformats.org/officeDocument/2006/relationships" xmlns:w="http://schemas.openxmlformats.org/wordprocessingml/2006/main">
  <w:divs>
    <w:div w:id="576594154">
      <w:bodyDiv w:val="1"/>
      <w:marLeft w:val="0"/>
      <w:marRight w:val="0"/>
      <w:marTop w:val="0"/>
      <w:marBottom w:val="0"/>
      <w:divBdr>
        <w:top w:val="none" w:sz="0" w:space="0" w:color="auto"/>
        <w:left w:val="none" w:sz="0" w:space="0" w:color="auto"/>
        <w:bottom w:val="none" w:sz="0" w:space="0" w:color="auto"/>
        <w:right w:val="none" w:sz="0" w:space="0" w:color="auto"/>
      </w:divBdr>
    </w:div>
    <w:div w:id="20480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886</Words>
  <Characters>5320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i gebus</dc:creator>
  <cp:lastModifiedBy>wojtek i gebus</cp:lastModifiedBy>
  <cp:revision>1</cp:revision>
  <cp:lastPrinted>2008-12-16T21:51:00Z</cp:lastPrinted>
  <dcterms:created xsi:type="dcterms:W3CDTF">2008-12-16T21:36:00Z</dcterms:created>
  <dcterms:modified xsi:type="dcterms:W3CDTF">2008-12-16T21:52:00Z</dcterms:modified>
</cp:coreProperties>
</file>