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B3A6B"/>
          <w:sz w:val="48"/>
          <w:szCs w:val="48"/>
        </w:rPr>
        <w:t xml:space="preserve">BARPASS TECHNOLOGIES, INC.</w:t>
      </w:r>
    </w:p>
    <w:p>
      <w:pPr>
        <w:spacing w:after="240"/>
        <w:jc w:val="center"/>
      </w:pPr>
      <w:r>
        <w:rPr>
          <w:rFonts w:ascii="Arial" w:cs="Arial" w:eastAsia="Arial" w:hAnsi="Arial"/>
          <w:color w:val="2E75B6"/>
          <w:sz w:val="32"/>
          <w:szCs w:val="32"/>
        </w:rPr>
        <w:t xml:space="preserve">Legal, Risk &amp; Compliance Framework</w:t>
      </w:r>
    </w:p>
    <w:p>
      <w:pPr>
        <w:pBdr>
          <w:bottom w:val="single" w:color="2E75B6" w:sz="8" w:space="1"/>
        </w:pBdr>
        <w:spacing w:after="160"/>
      </w:pPr>
    </w:p>
    <w:p>
      <w:pPr>
        <w:spacing w:after="80"/>
        <w:jc w:val="center"/>
      </w:pPr>
      <w:r>
        <w:rPr>
          <w:rFonts w:ascii="Arial" w:cs="Arial" w:eastAsia="Arial" w:hAnsi="Arial"/>
          <w:b/>
          <w:bCs/>
          <w:color w:val="C0392B"/>
          <w:sz w:val="22"/>
          <w:szCs w:val="22"/>
        </w:rPr>
        <w:t xml:space="preserve">VERSION 1.0 — PRODUCTION READY</w:t>
      </w:r>
    </w:p>
    <w:p>
      <w:pPr>
        <w:spacing w:after="80"/>
        <w:jc w:val="center"/>
      </w:pPr>
      <w:r>
        <w:rPr>
          <w:rFonts w:ascii="Arial" w:cs="Arial" w:eastAsia="Arial" w:hAnsi="Arial"/>
          <w:color w:val="5D6D7E"/>
          <w:sz w:val="22"/>
          <w:szCs w:val="22"/>
        </w:rPr>
        <w:t xml:space="preserve">Florida, United States | April 2026</w:t>
      </w:r>
    </w:p>
    <w:p>
      <w:pPr>
        <w:spacing w:after="80"/>
        <w:jc w:val="center"/>
      </w:pPr>
      <w:r>
        <w:rPr>
          <w:rFonts w:ascii="Arial" w:cs="Arial" w:eastAsia="Arial" w:hAnsi="Arial"/>
          <w:b/>
          <w:bCs/>
          <w:color w:val="C0392B"/>
          <w:sz w:val="20"/>
          <w:szCs w:val="20"/>
        </w:rPr>
        <w:t xml:space="preserve">CONFIDENTIAL — FOR INTERNAL AND LEGAL COUNSEL USE ONLY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Document Property</w:t>
            </w:r>
          </w:p>
        </w:tc>
        <w:tc>
          <w:tcPr>
            <w:tcW w:type="dxa" w:w="62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Prepared by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Legal &amp; Engineering Team</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Jurisdiction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State of Florida, United States of America</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Governing Law</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Florida Statutes, Federal Law (FTC, PCI DSS, CCPA, HIPAA where applicable)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Document Version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1.0 — Production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Effective Date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April 2026</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Next Review Date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October 2026 (semi-annual)</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Classification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CONFIDENTIAL — Restricted Distribution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Legal Counsel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[To be assigned — consult Florida Bar certified attorney]</w:t>
            </w:r>
          </w:p>
        </w:tc>
      </w:tr>
    </w:tbl>
    <w:p>
      <w:pPr>
        <w:spacing w:after="200"/>
      </w:pPr>
    </w:p>
    <w:tbl>
      <w:tblPr>
        <w:tblW w:type="dxa" w:w="9360"/>
        <w:tblBorders>
          <w:top w:val="single" w:color="D35400" w:sz="4"/>
          <w:left w:val="single" w:color="D35400" w:sz="4"/>
          <w:bottom w:val="single" w:color="D35400" w:sz="4"/>
          <w:right w:val="single" w:color="D35400" w:sz="4"/>
          <w:insideH w:val="single" w:color="auto" w:sz="4"/>
          <w:insideV w:val="single" w:color="auto" w:sz="4"/>
        </w:tblBorders>
      </w:tblPr>
      <w:tblGrid>
        <w:gridCol w:w="9360"/>
      </w:tblGrid>
      <w:tr>
        <w:tc>
          <w:tcPr>
            <w:tcW w:type="dxa" w:w="9360"/>
            <w:tcBorders>
              <w:top w:val="none"/>
              <w:left w:val="single" w:color="D35400" w:sz="16"/>
              <w:bottom w:val="none"/>
              <w:right w:val="none"/>
            </w:tcBorders>
            <w:shd w:fill="FEF9E7" w:val="clear"/>
            <w:tcMar>
              <w:top w:type="dxa" w:w="100"/>
              <w:left w:type="dxa" w:w="160"/>
              <w:bottom w:type="dxa" w:w="100"/>
              <w:right w:type="dxa" w:w="160"/>
            </w:tcMar>
          </w:tcPr>
          <w:p>
            <w:pPr>
              <w:spacing w:after="0"/>
            </w:pPr>
            <w:r>
              <w:rPr>
                <w:rFonts w:ascii="Arial" w:cs="Arial" w:eastAsia="Arial" w:hAnsi="Arial"/>
                <w:b/>
                <w:bCs/>
                <w:color w:val="D35400"/>
                <w:sz w:val="22"/>
                <w:szCs w:val="22"/>
              </w:rPr>
              <w:t xml:space="preserve">⚠  </w:t>
            </w:r>
            <w:r>
              <w:rPr>
                <w:rFonts w:ascii="Arial" w:cs="Arial" w:eastAsia="Arial" w:hAnsi="Arial"/>
                <w:color w:val="1A1A2E"/>
                <w:sz w:val="22"/>
                <w:szCs w:val="22"/>
              </w:rPr>
              <w:t xml:space="preserve">This document constitutes a legally binding framework for BarPass Technologies, Inc. operations. All personnel with access to BarPass systems must acknowledge and comply with the policies herein. This document must be reviewed by qualified legal counsel before deployment to production environments.</w:t>
            </w:r>
          </w:p>
        </w:tc>
      </w:tr>
    </w:tbl>
    <w:p>
      <w:r>
        <w:br w:type="page"/>
      </w:r>
    </w:p>
    <w:p>
      <w:pPr>
        <w:spacing w:after="80" w:before="320"/>
      </w:pPr>
      <w:r>
        <w:rPr>
          <w:rFonts w:ascii="Arial" w:cs="Arial" w:eastAsia="Arial" w:hAnsi="Arial"/>
          <w:b/>
          <w:bCs/>
          <w:color w:val="FFFFFF"/>
          <w:sz w:val="18"/>
          <w:szCs w:val="18"/>
          <w:shd w:fill="1B3A6B" w:val="clear"/>
        </w:rPr>
        <w:t xml:space="preserve">  SECTION 1 — LEGAL FRAMEWORK  </w:t>
      </w:r>
    </w:p>
    <w:p>
      <w:pPr>
        <w:pStyle w:val="Heading1"/>
        <w:spacing w:after="160" w:before="400"/>
      </w:pPr>
      <w:r>
        <w:rPr>
          <w:rFonts w:ascii="Arial" w:cs="Arial" w:eastAsia="Arial" w:hAnsi="Arial"/>
          <w:b/>
          <w:bCs/>
          <w:color w:val="1B3A6B"/>
          <w:sz w:val="36"/>
          <w:szCs w:val="36"/>
        </w:rPr>
        <w:t xml:space="preserve">1. Terms &amp; Conditions (T&amp;C)</w:t>
      </w:r>
    </w:p>
    <w:p>
      <w:pPr>
        <w:pBdr>
          <w:bottom w:val="single" w:color="2E75B6" w:sz="8" w:space="1"/>
        </w:pBdr>
        <w:spacing w:after="160"/>
      </w:pPr>
    </w:p>
    <w:p>
      <w:pPr>
        <w:spacing w:after="120" w:before="0"/>
        <w:jc w:val="left"/>
      </w:pPr>
      <w:r>
        <w:rPr>
          <w:rFonts w:ascii="Arial" w:cs="Arial" w:eastAsia="Arial" w:hAnsi="Arial"/>
          <w:b w:val="false"/>
          <w:bCs w:val="false"/>
          <w:i w:val="false"/>
          <w:iCs w:val="false"/>
          <w:color w:val="1A1A2E"/>
          <w:sz w:val="22"/>
          <w:szCs w:val="22"/>
        </w:rPr>
        <w:t xml:space="preserve">The following Terms and Conditions govern the use of the BarPass platform by all parties: BarPass Technologies, Inc. ("Platform"), licensed venue operators ("Venue Operators" or "Business"), and end consumers ("Customers"). These terms are drafted for enforceability under Florida law and applicable federal regulations.</w:t>
      </w:r>
    </w:p>
    <w:p>
      <w:pPr>
        <w:spacing w:after="120"/>
      </w:pPr>
    </w:p>
    <w:p>
      <w:pPr>
        <w:pStyle w:val="Heading2"/>
        <w:spacing w:after="120" w:before="320"/>
      </w:pPr>
      <w:r>
        <w:rPr>
          <w:rFonts w:ascii="Arial" w:cs="Arial" w:eastAsia="Arial" w:hAnsi="Arial"/>
          <w:b/>
          <w:bCs/>
          <w:color w:val="2E75B6"/>
          <w:sz w:val="28"/>
          <w:szCs w:val="28"/>
        </w:rPr>
        <w:t xml:space="preserve">1.1 Party Definitions and Role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Party</w:t>
            </w:r>
          </w:p>
        </w:tc>
        <w:tc>
          <w:tcPr>
            <w:tcW w:type="dxa" w:w="62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Legal Role and Scope of Responsibility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BarPass Technologies, Inc. ("Platform")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Technology intermediary. Provides SaaS platform, hardware under comodato, biometric verification engine, and analytics. Does NOT sell, serve, or distribute alcoholic beverages. NOT a licensed alcohol retailer under Florida Statute § 561.</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Venue Operator ("Business")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The licensed establishment (bar, nightclub, food truck, event venue) holding a valid Florida DABT alcohol license. Solely responsible for: (a) alcohol service decisions; (b) compliance with Florida Dram Shop Act (§ 768.125); (c) employment of bartending staff; (d) all POS transactions.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End Customer ("Customer")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Any individual who presents identification for verification or initiates a transaction through BarPass-enabled systems. Bound by these T&amp;C upon first use.</w:t>
            </w:r>
          </w:p>
        </w:tc>
      </w:tr>
    </w:tbl>
    <w:p>
      <w:pPr>
        <w:spacing w:after="120"/>
      </w:pPr>
    </w:p>
    <w:tbl>
      <w:tblPr>
        <w:tblW w:type="dxa" w:w="9360"/>
        <w:tblBorders>
          <w:top w:val="single" w:color="C0392B" w:sz="4"/>
          <w:left w:val="single" w:color="C0392B" w:sz="4"/>
          <w:bottom w:val="single" w:color="C0392B" w:sz="4"/>
          <w:right w:val="single" w:color="C0392B" w:sz="4"/>
          <w:insideH w:val="single" w:color="auto" w:sz="4"/>
          <w:insideV w:val="single" w:color="auto" w:sz="4"/>
        </w:tblBorders>
      </w:tblPr>
      <w:tblGrid>
        <w:gridCol w:w="9360"/>
      </w:tblGrid>
      <w:tr>
        <w:tc>
          <w:tcPr>
            <w:tcW w:type="dxa" w:w="9360"/>
            <w:tcBorders>
              <w:top w:val="none"/>
              <w:left w:val="single" w:color="C0392B" w:sz="16"/>
              <w:bottom w:val="none"/>
              <w:right w:val="none"/>
            </w:tcBorders>
            <w:shd w:fill="FDEDEC" w:val="clear"/>
            <w:tcMar>
              <w:top w:type="dxa" w:w="100"/>
              <w:left w:type="dxa" w:w="160"/>
              <w:bottom w:type="dxa" w:w="100"/>
              <w:right w:type="dxa" w:w="160"/>
            </w:tcMar>
          </w:tcPr>
          <w:p>
            <w:pPr>
              <w:spacing w:after="0"/>
            </w:pPr>
            <w:r>
              <w:rPr>
                <w:rFonts w:ascii="Arial" w:cs="Arial" w:eastAsia="Arial" w:hAnsi="Arial"/>
                <w:b/>
                <w:bCs/>
                <w:color w:val="C0392B"/>
                <w:sz w:val="22"/>
                <w:szCs w:val="22"/>
              </w:rPr>
              <w:t xml:space="preserve">🔴  </w:t>
            </w:r>
            <w:r>
              <w:rPr>
                <w:rFonts w:ascii="Arial" w:cs="Arial" w:eastAsia="Arial" w:hAnsi="Arial"/>
                <w:color w:val="1A1A2E"/>
                <w:sz w:val="22"/>
                <w:szCs w:val="22"/>
              </w:rPr>
              <w:t xml:space="preserve">CRITICAL LEGAL DISTINCTION: BarPass operates exclusively as a technology enabler. The Platform is NOT a party to any alcohol sale transaction. All liability arising from alcohol service, over-service, or dram shop claims rests solely with the Venue Operator as the licensed party under Florida law.</w:t>
            </w:r>
          </w:p>
        </w:tc>
      </w:tr>
    </w:tbl>
    <w:p>
      <w:pPr>
        <w:spacing w:after="120"/>
      </w:pPr>
    </w:p>
    <w:p>
      <w:pPr>
        <w:pStyle w:val="Heading2"/>
        <w:spacing w:after="120" w:before="320"/>
      </w:pPr>
      <w:r>
        <w:rPr>
          <w:rFonts w:ascii="Arial" w:cs="Arial" w:eastAsia="Arial" w:hAnsi="Arial"/>
          <w:b/>
          <w:bCs/>
          <w:color w:val="2E75B6"/>
          <w:sz w:val="28"/>
          <w:szCs w:val="28"/>
        </w:rPr>
        <w:t xml:space="preserve">1.2 Transaction Liability Allocation</w:t>
      </w:r>
    </w:p>
    <w:p>
      <w:pPr>
        <w:pStyle w:val="Heading3"/>
        <w:spacing w:after="80" w:before="240"/>
      </w:pPr>
      <w:r>
        <w:rPr>
          <w:rFonts w:ascii="Arial" w:cs="Arial" w:eastAsia="Arial" w:hAnsi="Arial"/>
          <w:b/>
          <w:bCs/>
          <w:color w:val="1B3A6B"/>
          <w:sz w:val="24"/>
          <w:szCs w:val="24"/>
        </w:rPr>
        <w:t xml:space="preserve">1.2.1 Scope of Platform Liability</w:t>
      </w:r>
    </w:p>
    <w:p>
      <w:pPr>
        <w:spacing w:after="120" w:before="0"/>
        <w:jc w:val="left"/>
      </w:pPr>
      <w:r>
        <w:rPr>
          <w:rFonts w:ascii="Arial" w:cs="Arial" w:eastAsia="Arial" w:hAnsi="Arial"/>
          <w:b w:val="false"/>
          <w:bCs w:val="false"/>
          <w:i w:val="false"/>
          <w:iCs w:val="false"/>
          <w:color w:val="1A1A2E"/>
          <w:sz w:val="22"/>
          <w:szCs w:val="22"/>
        </w:rPr>
        <w:t xml:space="preserve">BarPass Technologies, Inc. accepts liability ONLY for:</w:t>
      </w:r>
    </w:p>
    <w:p>
      <w:pPr>
        <w:pStyle w:val="ListParagraph"/>
        <w:numPr>
          <w:ilvl w:val="0"/>
          <w:numId w:val="2"/>
        </w:numPr>
        <w:spacing w:after="80"/>
      </w:pPr>
      <w:r>
        <w:rPr>
          <w:rFonts w:ascii="Arial" w:cs="Arial" w:eastAsia="Arial" w:hAnsi="Arial"/>
          <w:b w:val="false"/>
          <w:bCs w:val="false"/>
          <w:color w:val="1A1A2E"/>
          <w:sz w:val="22"/>
          <w:szCs w:val="22"/>
        </w:rPr>
        <w:t xml:space="preserve">System downtime or data loss caused directly by Platform negligence, subject to the SLA defined in the Service Agreement</w:t>
      </w:r>
    </w:p>
    <w:p>
      <w:pPr>
        <w:pStyle w:val="ListParagraph"/>
        <w:numPr>
          <w:ilvl w:val="0"/>
          <w:numId w:val="2"/>
        </w:numPr>
        <w:spacing w:after="80"/>
      </w:pPr>
      <w:r>
        <w:rPr>
          <w:rFonts w:ascii="Arial" w:cs="Arial" w:eastAsia="Arial" w:hAnsi="Arial"/>
          <w:b w:val="false"/>
          <w:bCs w:val="false"/>
          <w:color w:val="1A1A2E"/>
          <w:sz w:val="22"/>
          <w:szCs w:val="22"/>
        </w:rPr>
        <w:t xml:space="preserve">Verified software defects in the ID verification engine that result in documented erroneous approvals or denials</w:t>
      </w:r>
    </w:p>
    <w:p>
      <w:pPr>
        <w:pStyle w:val="ListParagraph"/>
        <w:numPr>
          <w:ilvl w:val="0"/>
          <w:numId w:val="2"/>
        </w:numPr>
        <w:spacing w:after="80"/>
      </w:pPr>
      <w:r>
        <w:rPr>
          <w:rFonts w:ascii="Arial" w:cs="Arial" w:eastAsia="Arial" w:hAnsi="Arial"/>
          <w:b w:val="false"/>
          <w:bCs w:val="false"/>
          <w:color w:val="1A1A2E"/>
          <w:sz w:val="22"/>
          <w:szCs w:val="22"/>
        </w:rPr>
        <w:t xml:space="preserve">Breaches of Customer PII data stored in BarPass systems, subject to the notification obligations under Florida § 501.171</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BarPass Technologies, Inc. expressly DISCLAIMS liability for:</w:t>
      </w:r>
    </w:p>
    <w:p>
      <w:pPr>
        <w:pStyle w:val="ListParagraph"/>
        <w:numPr>
          <w:ilvl w:val="0"/>
          <w:numId w:val="2"/>
        </w:numPr>
        <w:spacing w:after="80"/>
      </w:pPr>
      <w:r>
        <w:rPr>
          <w:rFonts w:ascii="Arial" w:cs="Arial" w:eastAsia="Arial" w:hAnsi="Arial"/>
          <w:b w:val="false"/>
          <w:bCs w:val="false"/>
          <w:color w:val="1A1A2E"/>
          <w:sz w:val="22"/>
          <w:szCs w:val="22"/>
        </w:rPr>
        <w:t xml:space="preserve">Any transaction dispute between Customer and Venue Operator regarding product delivery, quality, or quantity</w:t>
      </w:r>
    </w:p>
    <w:p>
      <w:pPr>
        <w:pStyle w:val="ListParagraph"/>
        <w:numPr>
          <w:ilvl w:val="0"/>
          <w:numId w:val="2"/>
        </w:numPr>
        <w:spacing w:after="80"/>
      </w:pPr>
      <w:r>
        <w:rPr>
          <w:rFonts w:ascii="Arial" w:cs="Arial" w:eastAsia="Arial" w:hAnsi="Arial"/>
          <w:b w:val="false"/>
          <w:bCs w:val="false"/>
          <w:color w:val="1A1A2E"/>
          <w:sz w:val="22"/>
          <w:szCs w:val="22"/>
        </w:rPr>
        <w:t xml:space="preserve">Over-service of alcohol regardless of verification outcome — verification confirms age, NOT sobriety or consumption capacity</w:t>
      </w:r>
    </w:p>
    <w:p>
      <w:pPr>
        <w:pStyle w:val="ListParagraph"/>
        <w:numPr>
          <w:ilvl w:val="0"/>
          <w:numId w:val="2"/>
        </w:numPr>
        <w:spacing w:after="80"/>
      </w:pPr>
      <w:r>
        <w:rPr>
          <w:rFonts w:ascii="Arial" w:cs="Arial" w:eastAsia="Arial" w:hAnsi="Arial"/>
          <w:b w:val="false"/>
          <w:bCs w:val="false"/>
          <w:color w:val="1A1A2E"/>
          <w:sz w:val="22"/>
          <w:szCs w:val="22"/>
        </w:rPr>
        <w:t xml:space="preserve">Actions or omissions of Venue Operator staff, including bartenders using BarPass hardware</w:t>
      </w:r>
    </w:p>
    <w:p>
      <w:pPr>
        <w:pStyle w:val="ListParagraph"/>
        <w:numPr>
          <w:ilvl w:val="0"/>
          <w:numId w:val="2"/>
        </w:numPr>
        <w:spacing w:after="80"/>
      </w:pPr>
      <w:r>
        <w:rPr>
          <w:rFonts w:ascii="Arial" w:cs="Arial" w:eastAsia="Arial" w:hAnsi="Arial"/>
          <w:b w:val="false"/>
          <w:bCs w:val="false"/>
          <w:color w:val="1A1A2E"/>
          <w:sz w:val="22"/>
          <w:szCs w:val="22"/>
        </w:rPr>
        <w:t xml:space="preserve">Fraudulent use of valid identification documents that pass biometric verification</w:t>
      </w:r>
    </w:p>
    <w:p>
      <w:pPr>
        <w:pStyle w:val="ListParagraph"/>
        <w:numPr>
          <w:ilvl w:val="0"/>
          <w:numId w:val="2"/>
        </w:numPr>
        <w:spacing w:after="80"/>
      </w:pPr>
      <w:r>
        <w:rPr>
          <w:rFonts w:ascii="Arial" w:cs="Arial" w:eastAsia="Arial" w:hAnsi="Arial"/>
          <w:b w:val="false"/>
          <w:bCs w:val="false"/>
          <w:color w:val="1A1A2E"/>
          <w:sz w:val="22"/>
          <w:szCs w:val="22"/>
        </w:rPr>
        <w:t xml:space="preserve">Any Dram Shop Act (§ 768.125 Fla. Stat.) claims — these attach exclusively to the licensed Venue Operator</w:t>
      </w:r>
    </w:p>
    <w:p>
      <w:pPr>
        <w:spacing w:after="120"/>
      </w:pPr>
    </w:p>
    <w:p>
      <w:pPr>
        <w:pStyle w:val="Heading3"/>
        <w:spacing w:after="80" w:before="240"/>
      </w:pPr>
      <w:r>
        <w:rPr>
          <w:rFonts w:ascii="Arial" w:cs="Arial" w:eastAsia="Arial" w:hAnsi="Arial"/>
          <w:b/>
          <w:bCs/>
          <w:color w:val="1B3A6B"/>
          <w:sz w:val="24"/>
          <w:szCs w:val="24"/>
        </w:rPr>
        <w:t xml:space="preserve">1.2.2 Venue Operator Obligations and Liability</w:t>
      </w:r>
    </w:p>
    <w:p>
      <w:pPr>
        <w:spacing w:after="120" w:before="0"/>
        <w:jc w:val="left"/>
      </w:pPr>
      <w:r>
        <w:rPr>
          <w:rFonts w:ascii="Arial" w:cs="Arial" w:eastAsia="Arial" w:hAnsi="Arial"/>
          <w:b w:val="false"/>
          <w:bCs w:val="false"/>
          <w:i w:val="false"/>
          <w:iCs w:val="false"/>
          <w:color w:val="1A1A2E"/>
          <w:sz w:val="22"/>
          <w:szCs w:val="22"/>
        </w:rPr>
        <w:t xml:space="preserve">By executing a BarPass Service Agreement, the Venue Operator acknowledges and assumes full responsibility for:</w:t>
      </w:r>
    </w:p>
    <w:p>
      <w:pPr>
        <w:pStyle w:val="ListParagraph"/>
        <w:numPr>
          <w:ilvl w:val="0"/>
          <w:numId w:val="3"/>
        </w:numPr>
        <w:spacing w:after="80"/>
      </w:pPr>
      <w:r>
        <w:rPr>
          <w:rFonts w:ascii="Arial" w:cs="Arial" w:eastAsia="Arial" w:hAnsi="Arial"/>
          <w:color w:val="1A1A2E"/>
          <w:sz w:val="22"/>
          <w:szCs w:val="22"/>
        </w:rPr>
        <w:t xml:space="preserve">Maintaining a valid Florida DABT alcohol license in good standing throughout the term</w:t>
      </w:r>
    </w:p>
    <w:p>
      <w:pPr>
        <w:pStyle w:val="ListParagraph"/>
        <w:numPr>
          <w:ilvl w:val="0"/>
          <w:numId w:val="3"/>
        </w:numPr>
        <w:spacing w:after="80"/>
      </w:pPr>
      <w:r>
        <w:rPr>
          <w:rFonts w:ascii="Arial" w:cs="Arial" w:eastAsia="Arial" w:hAnsi="Arial"/>
          <w:color w:val="1A1A2E"/>
          <w:sz w:val="22"/>
          <w:szCs w:val="22"/>
        </w:rPr>
        <w:t xml:space="preserve">Training all staff on responsible alcohol service (RAS) protocols</w:t>
      </w:r>
    </w:p>
    <w:p>
      <w:pPr>
        <w:pStyle w:val="ListParagraph"/>
        <w:numPr>
          <w:ilvl w:val="0"/>
          <w:numId w:val="3"/>
        </w:numPr>
        <w:spacing w:after="80"/>
      </w:pPr>
      <w:r>
        <w:rPr>
          <w:rFonts w:ascii="Arial" w:cs="Arial" w:eastAsia="Arial" w:hAnsi="Arial"/>
          <w:color w:val="1A1A2E"/>
          <w:sz w:val="22"/>
          <w:szCs w:val="22"/>
        </w:rPr>
        <w:t xml:space="preserve">Making the final decision to serve or refuse service regardless of BarPass system output</w:t>
      </w:r>
    </w:p>
    <w:p>
      <w:pPr>
        <w:pStyle w:val="ListParagraph"/>
        <w:numPr>
          <w:ilvl w:val="0"/>
          <w:numId w:val="3"/>
        </w:numPr>
        <w:spacing w:after="80"/>
      </w:pPr>
      <w:r>
        <w:rPr>
          <w:rFonts w:ascii="Arial" w:cs="Arial" w:eastAsia="Arial" w:hAnsi="Arial"/>
          <w:color w:val="1A1A2E"/>
          <w:sz w:val="22"/>
          <w:szCs w:val="22"/>
        </w:rPr>
        <w:t xml:space="preserve">Compliance with Florida Statute § 768.125 (Dram Shop Act), including maintaining dram shop liability insurance with minimum coverage of $1,000,000 per occurrence</w:t>
      </w:r>
    </w:p>
    <w:p>
      <w:pPr>
        <w:pStyle w:val="ListParagraph"/>
        <w:numPr>
          <w:ilvl w:val="0"/>
          <w:numId w:val="3"/>
        </w:numPr>
        <w:spacing w:after="80"/>
      </w:pPr>
      <w:r>
        <w:rPr>
          <w:rFonts w:ascii="Arial" w:cs="Arial" w:eastAsia="Arial" w:hAnsi="Arial"/>
          <w:color w:val="1A1A2E"/>
          <w:sz w:val="22"/>
          <w:szCs w:val="22"/>
        </w:rPr>
        <w:t xml:space="preserve">Ensuring all transactions processed through BarPass terminals comply with applicable tax, health, and alcohol laws</w:t>
      </w:r>
    </w:p>
    <w:p>
      <w:pPr>
        <w:pStyle w:val="ListParagraph"/>
        <w:numPr>
          <w:ilvl w:val="0"/>
          <w:numId w:val="3"/>
        </w:numPr>
        <w:spacing w:after="80"/>
      </w:pPr>
      <w:r>
        <w:rPr>
          <w:rFonts w:ascii="Arial" w:cs="Arial" w:eastAsia="Arial" w:hAnsi="Arial"/>
          <w:color w:val="1A1A2E"/>
          <w:sz w:val="22"/>
          <w:szCs w:val="22"/>
        </w:rPr>
        <w:t xml:space="preserve">Maintaining valid Workers Compensation and General Liability insurance coverage</w:t>
      </w:r>
    </w:p>
    <w:p>
      <w:pPr>
        <w:spacing w:after="120"/>
      </w:pPr>
    </w:p>
    <w:p>
      <w:pPr>
        <w:pStyle w:val="Heading2"/>
        <w:spacing w:after="120" w:before="320"/>
      </w:pPr>
      <w:r>
        <w:rPr>
          <w:rFonts w:ascii="Arial" w:cs="Arial" w:eastAsia="Arial" w:hAnsi="Arial"/>
          <w:b/>
          <w:bCs/>
          <w:color w:val="2E75B6"/>
          <w:sz w:val="28"/>
          <w:szCs w:val="28"/>
        </w:rPr>
        <w:t xml:space="preserve">1.3 Refund and Dispute Policy</w:t>
      </w:r>
    </w:p>
    <w:p>
      <w:pPr>
        <w:pStyle w:val="Heading3"/>
        <w:spacing w:after="80" w:before="240"/>
      </w:pPr>
      <w:r>
        <w:rPr>
          <w:rFonts w:ascii="Arial" w:cs="Arial" w:eastAsia="Arial" w:hAnsi="Arial"/>
          <w:b/>
          <w:bCs/>
          <w:color w:val="1B3A6B"/>
          <w:sz w:val="24"/>
          <w:szCs w:val="24"/>
        </w:rPr>
        <w:t xml:space="preserve">1.3.1 Eligible Refund Scenarios</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tcBorders>
              <w:top w:val="none"/>
              <w:left w:val="single" w:color="2E75B6" w:sz="16"/>
              <w:bottom w:val="none"/>
              <w:right w:val="none"/>
            </w:tcBorders>
            <w:shd w:fill="EBF2FA" w:val="clear"/>
            <w:tcMar>
              <w:top w:type="dxa" w:w="100"/>
              <w:left w:type="dxa" w:w="160"/>
              <w:bottom w:type="dxa" w:w="100"/>
              <w:right w:type="dxa" w:w="160"/>
            </w:tcMar>
          </w:tcPr>
          <w:p>
            <w:pPr>
              <w:spacing w:after="0"/>
            </w:pPr>
            <w:r>
              <w:rPr>
                <w:rFonts w:ascii="Arial" w:cs="Arial" w:eastAsia="Arial" w:hAnsi="Arial"/>
                <w:b/>
                <w:bCs/>
                <w:color w:val="2E75B6"/>
                <w:sz w:val="22"/>
                <w:szCs w:val="22"/>
              </w:rPr>
              <w:t xml:space="preserve">ℹ  </w:t>
            </w:r>
            <w:r>
              <w:rPr>
                <w:rFonts w:ascii="Arial" w:cs="Arial" w:eastAsia="Arial" w:hAnsi="Arial"/>
                <w:color w:val="1A1A2E"/>
                <w:sz w:val="22"/>
                <w:szCs w:val="22"/>
              </w:rPr>
              <w:t xml:space="preserve">BarPass processes refunds on behalf of Venue Operators. The Platform does not independently approve or deny refunds — approval authority rests with the Venue Manager role within the system, subject to the controls below.</w:t>
            </w:r>
          </w:p>
        </w:tc>
      </w:tr>
    </w:tbl>
    <w:p>
      <w:pPr>
        <w:spacing w:after="120"/>
      </w:pPr>
    </w:p>
    <w:p>
      <w:pPr>
        <w:spacing w:after="120" w:before="0"/>
        <w:jc w:val="left"/>
      </w:pPr>
      <w:r>
        <w:rPr>
          <w:rFonts w:ascii="Arial" w:cs="Arial" w:eastAsia="Arial" w:hAnsi="Arial"/>
          <w:b w:val="false"/>
          <w:bCs w:val="false"/>
          <w:i w:val="false"/>
          <w:iCs w:val="false"/>
          <w:color w:val="1A1A2E"/>
          <w:sz w:val="22"/>
          <w:szCs w:val="22"/>
        </w:rPr>
        <w:t xml:space="preserve">A refund request is ELIGIBLE for processing when ALL of the following conditions are met:</w:t>
      </w:r>
    </w:p>
    <w:p>
      <w:pPr>
        <w:pStyle w:val="ListParagraph"/>
        <w:numPr>
          <w:ilvl w:val="0"/>
          <w:numId w:val="2"/>
        </w:numPr>
        <w:spacing w:after="80"/>
      </w:pPr>
      <w:r>
        <w:rPr>
          <w:rFonts w:ascii="Arial" w:cs="Arial" w:eastAsia="Arial" w:hAnsi="Arial"/>
          <w:b w:val="false"/>
          <w:bCs w:val="false"/>
          <w:color w:val="1A1A2E"/>
          <w:sz w:val="22"/>
          <w:szCs w:val="22"/>
        </w:rPr>
        <w:t xml:space="preserve">Request is submitted within thirty (30) minutes of the original transaction timestamp</w:t>
      </w:r>
    </w:p>
    <w:p>
      <w:pPr>
        <w:pStyle w:val="ListParagraph"/>
        <w:numPr>
          <w:ilvl w:val="0"/>
          <w:numId w:val="2"/>
        </w:numPr>
        <w:spacing w:after="80"/>
      </w:pPr>
      <w:r>
        <w:rPr>
          <w:rFonts w:ascii="Arial" w:cs="Arial" w:eastAsia="Arial" w:hAnsi="Arial"/>
          <w:b w:val="false"/>
          <w:bCs w:val="false"/>
          <w:color w:val="1A1A2E"/>
          <w:sz w:val="22"/>
          <w:szCs w:val="22"/>
        </w:rPr>
        <w:t xml:space="preserve">The transaction can be verified in the BarPass audit log with a valid transaction ID</w:t>
      </w:r>
    </w:p>
    <w:p>
      <w:pPr>
        <w:pStyle w:val="ListParagraph"/>
        <w:numPr>
          <w:ilvl w:val="0"/>
          <w:numId w:val="2"/>
        </w:numPr>
        <w:spacing w:after="80"/>
      </w:pPr>
      <w:r>
        <w:rPr>
          <w:rFonts w:ascii="Arial" w:cs="Arial" w:eastAsia="Arial" w:hAnsi="Arial"/>
          <w:b w:val="false"/>
          <w:bCs w:val="false"/>
          <w:color w:val="1A1A2E"/>
          <w:sz w:val="22"/>
          <w:szCs w:val="22"/>
        </w:rPr>
        <w:t xml:space="preserve">A Manager-level PIN has authorized the refund within the system</w:t>
      </w:r>
    </w:p>
    <w:p>
      <w:pPr>
        <w:pStyle w:val="ListParagraph"/>
        <w:numPr>
          <w:ilvl w:val="0"/>
          <w:numId w:val="2"/>
        </w:numPr>
        <w:spacing w:after="80"/>
      </w:pPr>
      <w:r>
        <w:rPr>
          <w:rFonts w:ascii="Arial" w:cs="Arial" w:eastAsia="Arial" w:hAnsi="Arial"/>
          <w:b w:val="false"/>
          <w:bCs w:val="false"/>
          <w:color w:val="1A1A2E"/>
          <w:sz w:val="22"/>
          <w:szCs w:val="22"/>
        </w:rPr>
        <w:t xml:space="preserve">The refund reason code is one of: [ITEM_NOT_RECEIVED, INCORRECT_ITEM, SYSTEM_ERROR, DOUBLE_CHARGE]</w:t>
      </w:r>
    </w:p>
    <w:p>
      <w:pPr>
        <w:pStyle w:val="ListParagraph"/>
        <w:numPr>
          <w:ilvl w:val="0"/>
          <w:numId w:val="2"/>
        </w:numPr>
        <w:spacing w:after="80"/>
      </w:pPr>
      <w:r>
        <w:rPr>
          <w:rFonts w:ascii="Arial" w:cs="Arial" w:eastAsia="Arial" w:hAnsi="Arial"/>
          <w:b w:val="false"/>
          <w:bCs w:val="false"/>
          <w:color w:val="1A1A2E"/>
          <w:sz w:val="22"/>
          <w:szCs w:val="22"/>
        </w:rPr>
        <w:t xml:space="preserve">The cumulative refund amount for the Venue does not exceed the Refund Storm threshold defined in Section 3.1</w:t>
      </w:r>
    </w:p>
    <w:p>
      <w:pPr>
        <w:spacing w:after="120"/>
      </w:pPr>
    </w:p>
    <w:p>
      <w:pPr>
        <w:pStyle w:val="Heading3"/>
        <w:spacing w:after="80" w:before="240"/>
      </w:pPr>
      <w:r>
        <w:rPr>
          <w:rFonts w:ascii="Arial" w:cs="Arial" w:eastAsia="Arial" w:hAnsi="Arial"/>
          <w:b/>
          <w:bCs/>
          <w:color w:val="1B3A6B"/>
          <w:sz w:val="24"/>
          <w:szCs w:val="24"/>
        </w:rPr>
        <w:t xml:space="preserve">1.3.2 Non-Eligible Refund Scenarios</w:t>
      </w:r>
    </w:p>
    <w:p>
      <w:pPr>
        <w:spacing w:after="120" w:before="0"/>
        <w:jc w:val="left"/>
      </w:pPr>
      <w:r>
        <w:rPr>
          <w:rFonts w:ascii="Arial" w:cs="Arial" w:eastAsia="Arial" w:hAnsi="Arial"/>
          <w:b w:val="false"/>
          <w:bCs w:val="false"/>
          <w:i w:val="false"/>
          <w:iCs w:val="false"/>
          <w:color w:val="1A1A2E"/>
          <w:sz w:val="22"/>
          <w:szCs w:val="22"/>
        </w:rPr>
        <w:t xml:space="preserve">The following circumstances explicitly DISQUALIFY a transaction from refund eligibility:</w:t>
      </w:r>
    </w:p>
    <w:p>
      <w:pPr>
        <w:pStyle w:val="ListParagraph"/>
        <w:numPr>
          <w:ilvl w:val="0"/>
          <w:numId w:val="2"/>
        </w:numPr>
        <w:spacing w:after="80"/>
      </w:pPr>
      <w:r>
        <w:rPr>
          <w:rFonts w:ascii="Arial" w:cs="Arial" w:eastAsia="Arial" w:hAnsi="Arial"/>
          <w:b w:val="false"/>
          <w:bCs w:val="false"/>
          <w:color w:val="1A1A2E"/>
          <w:sz w:val="22"/>
          <w:szCs w:val="22"/>
        </w:rPr>
        <w:t xml:space="preserve">Customer dissatisfaction with taste, temperature, or presentation of a product that was correctly delivered</w:t>
      </w:r>
    </w:p>
    <w:p>
      <w:pPr>
        <w:pStyle w:val="ListParagraph"/>
        <w:numPr>
          <w:ilvl w:val="0"/>
          <w:numId w:val="2"/>
        </w:numPr>
        <w:spacing w:after="80"/>
      </w:pPr>
      <w:r>
        <w:rPr>
          <w:rFonts w:ascii="Arial" w:cs="Arial" w:eastAsia="Arial" w:hAnsi="Arial"/>
          <w:b w:val="false"/>
          <w:bCs w:val="false"/>
          <w:color w:val="1A1A2E"/>
          <w:sz w:val="22"/>
          <w:szCs w:val="22"/>
        </w:rPr>
        <w:t xml:space="preserve">Customer's voluntary intoxication or subsequent impairment — service decisions remain the Venue Operator's sole responsibility</w:t>
      </w:r>
    </w:p>
    <w:p>
      <w:pPr>
        <w:pStyle w:val="ListParagraph"/>
        <w:numPr>
          <w:ilvl w:val="0"/>
          <w:numId w:val="2"/>
        </w:numPr>
        <w:spacing w:after="80"/>
      </w:pPr>
      <w:r>
        <w:rPr>
          <w:rFonts w:ascii="Arial" w:cs="Arial" w:eastAsia="Arial" w:hAnsi="Arial"/>
          <w:b w:val="false"/>
          <w:bCs w:val="false"/>
          <w:color w:val="1A1A2E"/>
          <w:sz w:val="22"/>
          <w:szCs w:val="22"/>
        </w:rPr>
        <w:t xml:space="preserve">Requests submitted more than thirty (30) minutes after transaction completion, absent documented system error</w:t>
      </w:r>
    </w:p>
    <w:p>
      <w:pPr>
        <w:pStyle w:val="ListParagraph"/>
        <w:numPr>
          <w:ilvl w:val="0"/>
          <w:numId w:val="2"/>
        </w:numPr>
        <w:spacing w:after="80"/>
      </w:pPr>
      <w:r>
        <w:rPr>
          <w:rFonts w:ascii="Arial" w:cs="Arial" w:eastAsia="Arial" w:hAnsi="Arial"/>
          <w:b w:val="false"/>
          <w:bCs w:val="false"/>
          <w:color w:val="1A1A2E"/>
          <w:sz w:val="22"/>
          <w:szCs w:val="22"/>
        </w:rPr>
        <w:t xml:space="preserve">Requests lacking Manager PIN authorization in the audit log</w:t>
      </w:r>
    </w:p>
    <w:p>
      <w:pPr>
        <w:pStyle w:val="ListParagraph"/>
        <w:numPr>
          <w:ilvl w:val="0"/>
          <w:numId w:val="2"/>
        </w:numPr>
        <w:spacing w:after="80"/>
      </w:pPr>
      <w:r>
        <w:rPr>
          <w:rFonts w:ascii="Arial" w:cs="Arial" w:eastAsia="Arial" w:hAnsi="Arial"/>
          <w:b w:val="false"/>
          <w:bCs w:val="false"/>
          <w:color w:val="1A1A2E"/>
          <w:sz w:val="22"/>
          <w:szCs w:val="22"/>
        </w:rPr>
        <w:t xml:space="preserve">Changes in Customer's preference or order error attributable to the Customer</w:t>
      </w:r>
    </w:p>
    <w:p>
      <w:pPr>
        <w:pStyle w:val="ListParagraph"/>
        <w:numPr>
          <w:ilvl w:val="0"/>
          <w:numId w:val="2"/>
        </w:numPr>
        <w:spacing w:after="80"/>
      </w:pPr>
      <w:r>
        <w:rPr>
          <w:rFonts w:ascii="Arial" w:cs="Arial" w:eastAsia="Arial" w:hAnsi="Arial"/>
          <w:b w:val="false"/>
          <w:bCs w:val="false"/>
          <w:color w:val="1A1A2E"/>
          <w:sz w:val="22"/>
          <w:szCs w:val="22"/>
        </w:rPr>
        <w:t xml:space="preserve">Transactions where the Customer successfully received and consumed the product</w:t>
      </w:r>
    </w:p>
    <w:p>
      <w:pPr>
        <w:spacing w:after="120"/>
      </w:pPr>
    </w:p>
    <w:p>
      <w:pPr>
        <w:pStyle w:val="Heading3"/>
        <w:spacing w:after="80" w:before="240"/>
      </w:pPr>
      <w:r>
        <w:rPr>
          <w:rFonts w:ascii="Arial" w:cs="Arial" w:eastAsia="Arial" w:hAnsi="Arial"/>
          <w:b/>
          <w:bCs/>
          <w:color w:val="1B3A6B"/>
          <w:sz w:val="24"/>
          <w:szCs w:val="24"/>
        </w:rPr>
        <w:t xml:space="preserve">1.3.3 Dispute Resolution Process</w:t>
      </w:r>
    </w:p>
    <w:p>
      <w:pPr>
        <w:pStyle w:val="ListParagraph"/>
        <w:numPr>
          <w:ilvl w:val="0"/>
          <w:numId w:val="3"/>
        </w:numPr>
        <w:spacing w:after="80"/>
      </w:pPr>
      <w:r>
        <w:rPr>
          <w:rFonts w:ascii="Arial" w:cs="Arial" w:eastAsia="Arial" w:hAnsi="Arial"/>
          <w:color w:val="1A1A2E"/>
          <w:sz w:val="22"/>
          <w:szCs w:val="22"/>
        </w:rPr>
        <w:t xml:space="preserve">Customer raises dispute directly with Venue Operator at point of service</w:t>
      </w:r>
    </w:p>
    <w:p>
      <w:pPr>
        <w:pStyle w:val="ListParagraph"/>
        <w:numPr>
          <w:ilvl w:val="0"/>
          <w:numId w:val="3"/>
        </w:numPr>
        <w:spacing w:after="80"/>
      </w:pPr>
      <w:r>
        <w:rPr>
          <w:rFonts w:ascii="Arial" w:cs="Arial" w:eastAsia="Arial" w:hAnsi="Arial"/>
          <w:color w:val="1A1A2E"/>
          <w:sz w:val="22"/>
          <w:szCs w:val="22"/>
        </w:rPr>
        <w:t xml:space="preserve">Venue Manager reviews transaction in BarPass Manager View with full audit trail</w:t>
      </w:r>
    </w:p>
    <w:p>
      <w:pPr>
        <w:pStyle w:val="ListParagraph"/>
        <w:numPr>
          <w:ilvl w:val="0"/>
          <w:numId w:val="3"/>
        </w:numPr>
        <w:spacing w:after="80"/>
      </w:pPr>
      <w:r>
        <w:rPr>
          <w:rFonts w:ascii="Arial" w:cs="Arial" w:eastAsia="Arial" w:hAnsi="Arial"/>
          <w:color w:val="1A1A2E"/>
          <w:sz w:val="22"/>
          <w:szCs w:val="22"/>
        </w:rPr>
        <w:t xml:space="preserve">If eligible, Manager authorizes refund via PIN — creates immutable log entry</w:t>
      </w:r>
    </w:p>
    <w:p>
      <w:pPr>
        <w:pStyle w:val="ListParagraph"/>
        <w:numPr>
          <w:ilvl w:val="0"/>
          <w:numId w:val="3"/>
        </w:numPr>
        <w:spacing w:after="80"/>
      </w:pPr>
      <w:r>
        <w:rPr>
          <w:rFonts w:ascii="Arial" w:cs="Arial" w:eastAsia="Arial" w:hAnsi="Arial"/>
          <w:color w:val="1A1A2E"/>
          <w:sz w:val="22"/>
          <w:szCs w:val="22"/>
        </w:rPr>
        <w:t xml:space="preserve">Refund processes through the original payment method within 3-5 business days (Stripe SLA)</w:t>
      </w:r>
    </w:p>
    <w:p>
      <w:pPr>
        <w:pStyle w:val="ListParagraph"/>
        <w:numPr>
          <w:ilvl w:val="0"/>
          <w:numId w:val="3"/>
        </w:numPr>
        <w:spacing w:after="80"/>
      </w:pPr>
      <w:r>
        <w:rPr>
          <w:rFonts w:ascii="Arial" w:cs="Arial" w:eastAsia="Arial" w:hAnsi="Arial"/>
          <w:color w:val="1A1A2E"/>
          <w:sz w:val="22"/>
          <w:szCs w:val="22"/>
        </w:rPr>
        <w:t xml:space="preserve">If unresolved, Customer may initiate chargeback through their card issuer — Venue Operator bears chargeback liability, not Platform</w:t>
      </w:r>
    </w:p>
    <w:p>
      <w:pPr>
        <w:pStyle w:val="ListParagraph"/>
        <w:numPr>
          <w:ilvl w:val="0"/>
          <w:numId w:val="3"/>
        </w:numPr>
        <w:spacing w:after="80"/>
      </w:pPr>
      <w:r>
        <w:rPr>
          <w:rFonts w:ascii="Arial" w:cs="Arial" w:eastAsia="Arial" w:hAnsi="Arial"/>
          <w:color w:val="1A1A2E"/>
          <w:sz w:val="22"/>
          <w:szCs w:val="22"/>
        </w:rPr>
        <w:t xml:space="preserve">Platform provides transaction logs to Venue Operator within 48 hours to support chargeback dispute</w:t>
      </w:r>
    </w:p>
    <w:p>
      <w:pPr>
        <w:spacing w:after="120"/>
      </w:pPr>
    </w:p>
    <w:tbl>
      <w:tblPr>
        <w:tblW w:type="dxa" w:w="9360"/>
        <w:tblBorders>
          <w:top w:val="single" w:color="D35400" w:sz="4"/>
          <w:left w:val="single" w:color="D35400" w:sz="4"/>
          <w:bottom w:val="single" w:color="D35400" w:sz="4"/>
          <w:right w:val="single" w:color="D35400" w:sz="4"/>
          <w:insideH w:val="single" w:color="auto" w:sz="4"/>
          <w:insideV w:val="single" w:color="auto" w:sz="4"/>
        </w:tblBorders>
      </w:tblPr>
      <w:tblGrid>
        <w:gridCol w:w="9360"/>
      </w:tblGrid>
      <w:tr>
        <w:tc>
          <w:tcPr>
            <w:tcW w:type="dxa" w:w="9360"/>
            <w:tcBorders>
              <w:top w:val="none"/>
              <w:left w:val="single" w:color="D35400" w:sz="16"/>
              <w:bottom w:val="none"/>
              <w:right w:val="none"/>
            </w:tcBorders>
            <w:shd w:fill="FEF9E7" w:val="clear"/>
            <w:tcMar>
              <w:top w:type="dxa" w:w="100"/>
              <w:left w:type="dxa" w:w="160"/>
              <w:bottom w:type="dxa" w:w="100"/>
              <w:right w:type="dxa" w:w="160"/>
            </w:tcMar>
          </w:tcPr>
          <w:p>
            <w:pPr>
              <w:spacing w:after="0"/>
            </w:pPr>
            <w:r>
              <w:rPr>
                <w:rFonts w:ascii="Arial" w:cs="Arial" w:eastAsia="Arial" w:hAnsi="Arial"/>
                <w:b/>
                <w:bCs/>
                <w:color w:val="D35400"/>
                <w:sz w:val="22"/>
                <w:szCs w:val="22"/>
              </w:rPr>
              <w:t xml:space="preserve">⚠  </w:t>
            </w:r>
            <w:r>
              <w:rPr>
                <w:rFonts w:ascii="Arial" w:cs="Arial" w:eastAsia="Arial" w:hAnsi="Arial"/>
                <w:color w:val="1A1A2E"/>
                <w:sz w:val="22"/>
                <w:szCs w:val="22"/>
              </w:rPr>
              <w:t xml:space="preserve">FINANCIAL RISK NOTE: Chargebacks initiated against Venue Operators may result in Stripe account restrictions. BarPass is not liable for card network penalties. Venue Operators are advised to respond to all chargebacks within the card network response window (typically 7-21 days).</w:t>
            </w:r>
          </w:p>
        </w:tc>
      </w:tr>
    </w:tbl>
    <w:p>
      <w:pPr>
        <w:spacing w:after="120"/>
      </w:pPr>
    </w:p>
    <w:p>
      <w:pPr>
        <w:pStyle w:val="Heading2"/>
        <w:spacing w:after="120" w:before="320"/>
      </w:pPr>
      <w:r>
        <w:rPr>
          <w:rFonts w:ascii="Arial" w:cs="Arial" w:eastAsia="Arial" w:hAnsi="Arial"/>
          <w:b/>
          <w:bCs/>
          <w:color w:val="2E75B6"/>
          <w:sz w:val="28"/>
          <w:szCs w:val="28"/>
        </w:rPr>
        <w:t xml:space="preserve">1.4 Limitation of Liability</w:t>
      </w:r>
    </w:p>
    <w:p>
      <w:pPr>
        <w:spacing w:after="120" w:before="0"/>
        <w:jc w:val="left"/>
      </w:pPr>
      <w:r>
        <w:rPr>
          <w:rFonts w:ascii="Arial" w:cs="Arial" w:eastAsia="Arial" w:hAnsi="Arial"/>
          <w:b w:val="false"/>
          <w:bCs w:val="false"/>
          <w:i w:val="false"/>
          <w:iCs w:val="false"/>
          <w:color w:val="1A1A2E"/>
          <w:sz w:val="22"/>
          <w:szCs w:val="22"/>
        </w:rPr>
        <w:t xml:space="preserve">TO THE MAXIMUM EXTENT PERMITTED BY APPLICABLE LAW, IN NO EVENT SHALL BARPASS TECHNOLOGIES, INC. BE LIABLE FOR:</w:t>
      </w:r>
    </w:p>
    <w:p>
      <w:pPr>
        <w:pStyle w:val="ListParagraph"/>
        <w:numPr>
          <w:ilvl w:val="0"/>
          <w:numId w:val="2"/>
        </w:numPr>
        <w:spacing w:after="80"/>
      </w:pPr>
      <w:r>
        <w:rPr>
          <w:rFonts w:ascii="Arial" w:cs="Arial" w:eastAsia="Arial" w:hAnsi="Arial"/>
          <w:b w:val="false"/>
          <w:bCs w:val="false"/>
          <w:color w:val="1A1A2E"/>
          <w:sz w:val="22"/>
          <w:szCs w:val="22"/>
        </w:rPr>
        <w:t xml:space="preserve">INDIRECT, INCIDENTAL, SPECIAL, CONSEQUENTIAL, PUNITIVE, OR EXEMPLARY DAMAGES</w:t>
      </w:r>
    </w:p>
    <w:p>
      <w:pPr>
        <w:pStyle w:val="ListParagraph"/>
        <w:numPr>
          <w:ilvl w:val="0"/>
          <w:numId w:val="2"/>
        </w:numPr>
        <w:spacing w:after="80"/>
      </w:pPr>
      <w:r>
        <w:rPr>
          <w:rFonts w:ascii="Arial" w:cs="Arial" w:eastAsia="Arial" w:hAnsi="Arial"/>
          <w:b w:val="false"/>
          <w:bCs w:val="false"/>
          <w:color w:val="1A1A2E"/>
          <w:sz w:val="22"/>
          <w:szCs w:val="22"/>
        </w:rPr>
        <w:t xml:space="preserve">LOSS OF PROFITS, REVENUE, BUSINESS, OR GOODWILL ARISING FROM USE OF THE PLATFORM</w:t>
      </w:r>
    </w:p>
    <w:p>
      <w:pPr>
        <w:pStyle w:val="ListParagraph"/>
        <w:numPr>
          <w:ilvl w:val="0"/>
          <w:numId w:val="2"/>
        </w:numPr>
        <w:spacing w:after="80"/>
      </w:pPr>
      <w:r>
        <w:rPr>
          <w:rFonts w:ascii="Arial" w:cs="Arial" w:eastAsia="Arial" w:hAnsi="Arial"/>
          <w:b w:val="false"/>
          <w:bCs w:val="false"/>
          <w:color w:val="1A1A2E"/>
          <w:sz w:val="22"/>
          <w:szCs w:val="22"/>
        </w:rPr>
        <w:t xml:space="preserve">DAMAGES EXCEEDING THE TOTAL FEES PAID BY THE VENUE OPERATOR IN THE THREE (3) MONTHS PRECEDING THE CLAIM</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Florida courts have enforced limitation of liability clauses in commercial SaaS agreements when: (a) the clause is conspicuous; (b) it doesn't violate public policy; (c) both parties are sophisticated commercial entities. BarPass's limitation clause satisfies all three prongs. (Refer: Advance Watch Co. v. Kemper Nat'l Ins. Co., 99 F.3d 795 (6th Cir. 1996); applicable under Florida contract doctrine.)</w:t>
      </w:r>
    </w:p>
    <w:p>
      <w:pPr>
        <w:spacing w:after="120"/>
      </w:pPr>
    </w:p>
    <w:p>
      <w:pPr>
        <w:pStyle w:val="Heading2"/>
        <w:spacing w:after="120" w:before="320"/>
      </w:pPr>
      <w:r>
        <w:rPr>
          <w:rFonts w:ascii="Arial" w:cs="Arial" w:eastAsia="Arial" w:hAnsi="Arial"/>
          <w:b/>
          <w:bCs/>
          <w:color w:val="2E75B6"/>
          <w:sz w:val="28"/>
          <w:szCs w:val="28"/>
        </w:rPr>
        <w:t xml:space="preserve">1.5 Biometric Data Consent and FDBR Compliance</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tcBorders>
              <w:top w:val="none"/>
              <w:left w:val="single" w:color="2E75B6" w:sz="16"/>
              <w:bottom w:val="none"/>
              <w:right w:val="none"/>
            </w:tcBorders>
            <w:shd w:fill="EBF2FA" w:val="clear"/>
            <w:tcMar>
              <w:top w:type="dxa" w:w="100"/>
              <w:left w:type="dxa" w:w="160"/>
              <w:bottom w:type="dxa" w:w="100"/>
              <w:right w:type="dxa" w:w="160"/>
            </w:tcMar>
          </w:tcPr>
          <w:p>
            <w:pPr>
              <w:spacing w:after="0"/>
            </w:pPr>
            <w:r>
              <w:rPr>
                <w:rFonts w:ascii="Arial" w:cs="Arial" w:eastAsia="Arial" w:hAnsi="Arial"/>
                <w:b/>
                <w:bCs/>
                <w:color w:val="2E75B6"/>
                <w:sz w:val="22"/>
                <w:szCs w:val="22"/>
              </w:rPr>
              <w:t xml:space="preserve">ℹ  </w:t>
            </w:r>
            <w:r>
              <w:rPr>
                <w:rFonts w:ascii="Arial" w:cs="Arial" w:eastAsia="Arial" w:hAnsi="Arial"/>
                <w:color w:val="1A1A2E"/>
                <w:sz w:val="22"/>
                <w:szCs w:val="22"/>
              </w:rPr>
              <w:t xml:space="preserve">Florida House Bill 1547 (2024) — Florida Digital Bill of Rights — requires explicit consent before collecting biometric identifiers. BarPass's architecture is designed for full FDBR compliance.</w:t>
            </w:r>
          </w:p>
        </w:tc>
      </w:tr>
    </w:tbl>
    <w:p>
      <w:pPr>
        <w:spacing w:after="120"/>
      </w:pPr>
    </w:p>
    <w:p>
      <w:pPr>
        <w:spacing w:after="120" w:before="0"/>
        <w:jc w:val="left"/>
      </w:pPr>
      <w:r>
        <w:rPr>
          <w:rFonts w:ascii="Arial" w:cs="Arial" w:eastAsia="Arial" w:hAnsi="Arial"/>
          <w:b w:val="false"/>
          <w:bCs w:val="false"/>
          <w:i w:val="false"/>
          <w:iCs w:val="false"/>
          <w:color w:val="1A1A2E"/>
          <w:sz w:val="22"/>
          <w:szCs w:val="22"/>
        </w:rPr>
        <w:t xml:space="preserve">Prior to any biometric scan, BarPass systems SHALL:</w:t>
      </w:r>
    </w:p>
    <w:p>
      <w:pPr>
        <w:pStyle w:val="ListParagraph"/>
        <w:numPr>
          <w:ilvl w:val="0"/>
          <w:numId w:val="2"/>
        </w:numPr>
        <w:spacing w:after="80"/>
      </w:pPr>
      <w:r>
        <w:rPr>
          <w:rFonts w:ascii="Arial" w:cs="Arial" w:eastAsia="Arial" w:hAnsi="Arial"/>
          <w:b w:val="false"/>
          <w:bCs w:val="false"/>
          <w:color w:val="1A1A2E"/>
          <w:sz w:val="22"/>
          <w:szCs w:val="22"/>
        </w:rPr>
        <w:t xml:space="preserve">Display a FDBR-compliant consent notice in 14pt+ font on the scanning device</w:t>
      </w:r>
    </w:p>
    <w:p>
      <w:pPr>
        <w:pStyle w:val="ListParagraph"/>
        <w:numPr>
          <w:ilvl w:val="0"/>
          <w:numId w:val="2"/>
        </w:numPr>
        <w:spacing w:after="80"/>
      </w:pPr>
      <w:r>
        <w:rPr>
          <w:rFonts w:ascii="Arial" w:cs="Arial" w:eastAsia="Arial" w:hAnsi="Arial"/>
          <w:b w:val="false"/>
          <w:bCs w:val="false"/>
          <w:color w:val="1A1A2E"/>
          <w:sz w:val="22"/>
          <w:szCs w:val="22"/>
        </w:rPr>
        <w:t xml:space="preserve">Require affirmative acknowledgment (tap or verbal confirmation recorded in log)</w:t>
      </w:r>
    </w:p>
    <w:p>
      <w:pPr>
        <w:pStyle w:val="ListParagraph"/>
        <w:numPr>
          <w:ilvl w:val="0"/>
          <w:numId w:val="2"/>
        </w:numPr>
        <w:spacing w:after="80"/>
      </w:pPr>
      <w:r>
        <w:rPr>
          <w:rFonts w:ascii="Arial" w:cs="Arial" w:eastAsia="Arial" w:hAnsi="Arial"/>
          <w:b w:val="false"/>
          <w:bCs w:val="false"/>
          <w:color w:val="1A1A2E"/>
          <w:sz w:val="22"/>
          <w:szCs w:val="22"/>
        </w:rPr>
        <w:t xml:space="preserve">Clearly disclose: (a) the purpose of collection; (b) that only mathematical vectors are stored, never photographs; (c) retention period (session-only by default); (d) right to request deletion</w:t>
      </w:r>
    </w:p>
    <w:p>
      <w:pPr>
        <w:pStyle w:val="ListParagraph"/>
        <w:numPr>
          <w:ilvl w:val="0"/>
          <w:numId w:val="2"/>
        </w:numPr>
        <w:spacing w:after="80"/>
      </w:pPr>
      <w:r>
        <w:rPr>
          <w:rFonts w:ascii="Arial" w:cs="Arial" w:eastAsia="Arial" w:hAnsi="Arial"/>
          <w:b w:val="false"/>
          <w:bCs w:val="false"/>
          <w:color w:val="1A1A2E"/>
          <w:sz w:val="22"/>
          <w:szCs w:val="22"/>
        </w:rPr>
        <w:t xml:space="preserve">Log consent timestamp, terminal ID, and session ID in the immutable audit trail</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BarPass expressly does NOT:</w:t>
      </w:r>
    </w:p>
    <w:p>
      <w:pPr>
        <w:pStyle w:val="ListParagraph"/>
        <w:numPr>
          <w:ilvl w:val="0"/>
          <w:numId w:val="2"/>
        </w:numPr>
        <w:spacing w:after="80"/>
      </w:pPr>
      <w:r>
        <w:rPr>
          <w:rFonts w:ascii="Arial" w:cs="Arial" w:eastAsia="Arial" w:hAnsi="Arial"/>
          <w:b w:val="false"/>
          <w:bCs w:val="false"/>
          <w:color w:val="1A1A2E"/>
          <w:sz w:val="22"/>
          <w:szCs w:val="22"/>
        </w:rPr>
        <w:t xml:space="preserve">Store facial photographs or raw biometric images beyond the active verification session</w:t>
      </w:r>
    </w:p>
    <w:p>
      <w:pPr>
        <w:pStyle w:val="ListParagraph"/>
        <w:numPr>
          <w:ilvl w:val="0"/>
          <w:numId w:val="2"/>
        </w:numPr>
        <w:spacing w:after="80"/>
      </w:pPr>
      <w:r>
        <w:rPr>
          <w:rFonts w:ascii="Arial" w:cs="Arial" w:eastAsia="Arial" w:hAnsi="Arial"/>
          <w:b w:val="false"/>
          <w:bCs w:val="false"/>
          <w:color w:val="1A1A2E"/>
          <w:sz w:val="22"/>
          <w:szCs w:val="22"/>
        </w:rPr>
        <w:t xml:space="preserve">Share biometric data with third parties other than the cloud verification provider (AWS Rekognition) under a BAA</w:t>
      </w:r>
    </w:p>
    <w:p>
      <w:pPr>
        <w:pStyle w:val="ListParagraph"/>
        <w:numPr>
          <w:ilvl w:val="0"/>
          <w:numId w:val="2"/>
        </w:numPr>
        <w:spacing w:after="80"/>
      </w:pPr>
      <w:r>
        <w:rPr>
          <w:rFonts w:ascii="Arial" w:cs="Arial" w:eastAsia="Arial" w:hAnsi="Arial"/>
          <w:b w:val="false"/>
          <w:bCs w:val="false"/>
          <w:color w:val="1A1A2E"/>
          <w:sz w:val="22"/>
          <w:szCs w:val="22"/>
        </w:rPr>
        <w:t xml:space="preserve">Use biometric data for any purpose other than age/identity verification at point of service</w:t>
      </w:r>
    </w:p>
    <w:p>
      <w:r>
        <w:br w:type="page"/>
      </w:r>
    </w:p>
    <w:p>
      <w:pPr>
        <w:spacing w:after="80" w:before="320"/>
      </w:pPr>
      <w:r>
        <w:rPr>
          <w:rFonts w:ascii="Arial" w:cs="Arial" w:eastAsia="Arial" w:hAnsi="Arial"/>
          <w:b/>
          <w:bCs/>
          <w:color w:val="FFFFFF"/>
          <w:sz w:val="18"/>
          <w:szCs w:val="18"/>
          <w:shd w:fill="2E75B6" w:val="clear"/>
        </w:rPr>
        <w:t xml:space="preserve">  SECTION 2 — HARDWARE AGREEMENT  </w:t>
      </w:r>
    </w:p>
    <w:p>
      <w:pPr>
        <w:pStyle w:val="Heading1"/>
        <w:spacing w:after="160" w:before="400"/>
      </w:pPr>
      <w:r>
        <w:rPr>
          <w:rFonts w:ascii="Arial" w:cs="Arial" w:eastAsia="Arial" w:hAnsi="Arial"/>
          <w:b/>
          <w:bCs/>
          <w:color w:val="1B3A6B"/>
          <w:sz w:val="36"/>
          <w:szCs w:val="36"/>
        </w:rPr>
        <w:t xml:space="preserve">2. Contrato de Comodato — Hardware Loan Agreement</w:t>
      </w:r>
    </w:p>
    <w:p>
      <w:pPr>
        <w:pBdr>
          <w:bottom w:val="single" w:color="2E75B6" w:sz="8" w:space="1"/>
        </w:pBdr>
        <w:spacing w:after="160"/>
      </w:pP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tcBorders>
              <w:top w:val="none"/>
              <w:left w:val="single" w:color="2E75B6" w:sz="16"/>
              <w:bottom w:val="none"/>
              <w:right w:val="none"/>
            </w:tcBorders>
            <w:shd w:fill="EBF2FA" w:val="clear"/>
            <w:tcMar>
              <w:top w:type="dxa" w:w="100"/>
              <w:left w:type="dxa" w:w="160"/>
              <w:bottom w:type="dxa" w:w="100"/>
              <w:right w:type="dxa" w:w="160"/>
            </w:tcMar>
          </w:tcPr>
          <w:p>
            <w:pPr>
              <w:spacing w:after="0"/>
            </w:pPr>
            <w:r>
              <w:rPr>
                <w:rFonts w:ascii="Arial" w:cs="Arial" w:eastAsia="Arial" w:hAnsi="Arial"/>
                <w:b/>
                <w:bCs/>
                <w:color w:val="2E75B6"/>
                <w:sz w:val="22"/>
                <w:szCs w:val="22"/>
              </w:rPr>
              <w:t xml:space="preserve">ℹ  </w:t>
            </w:r>
            <w:r>
              <w:rPr>
                <w:rFonts w:ascii="Arial" w:cs="Arial" w:eastAsia="Arial" w:hAnsi="Arial"/>
                <w:color w:val="1A1A2E"/>
                <w:sz w:val="22"/>
                <w:szCs w:val="22"/>
              </w:rPr>
              <w:t xml:space="preserve">This Hardware Loan Agreement (Comodato) governs the delivery of BarPass hardware to Venue Operators. Under Florida law, a comodato (gratuitous loan for use) creates a bailment relationship where the bailee (Venue Operator) bears full responsibility for the bailed property. This agreement is structured to be enforceable under Florida Statute § 679.</w:t>
            </w:r>
          </w:p>
        </w:tc>
      </w:tr>
    </w:tbl>
    <w:p>
      <w:pPr>
        <w:spacing w:after="120"/>
      </w:pPr>
    </w:p>
    <w:p>
      <w:pPr>
        <w:pStyle w:val="Heading2"/>
        <w:spacing w:after="120" w:before="320"/>
      </w:pPr>
      <w:r>
        <w:rPr>
          <w:rFonts w:ascii="Arial" w:cs="Arial" w:eastAsia="Arial" w:hAnsi="Arial"/>
          <w:b/>
          <w:bCs/>
          <w:color w:val="2E75B6"/>
          <w:sz w:val="28"/>
          <w:szCs w:val="28"/>
        </w:rPr>
        <w:t xml:space="preserve">2.1 Agreement Structure and Parties</w:t>
      </w:r>
    </w:p>
    <w:p>
      <w:pPr>
        <w:spacing w:after="120" w:before="0"/>
        <w:jc w:val="left"/>
      </w:pPr>
      <w:r>
        <w:rPr>
          <w:rFonts w:ascii="Arial" w:cs="Arial" w:eastAsia="Arial" w:hAnsi="Arial"/>
          <w:b w:val="false"/>
          <w:bCs w:val="false"/>
          <w:i w:val="false"/>
          <w:iCs w:val="false"/>
          <w:color w:val="1A1A2E"/>
          <w:sz w:val="22"/>
          <w:szCs w:val="22"/>
        </w:rPr>
        <w:t xml:space="preserve">HARDWARE LOAN AGREEMENT ("Agreement")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2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Lender ("BarPass")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Technologies, Inc., a Florida corporation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Borrower ("Venue Operator")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[Venue legal name, DBA, Florida corporation/LLC number]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Venue Address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[Street address, City, FL ZIP]</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DABT License Number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[Venue's Florida DABT alcohol license number]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Agreement Date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[Date of execution]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Term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 months, auto-renewing unless terminated per Section 2.7</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Governing Law</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State of Florida, Miami-Dade County venue for disputes</w:t>
            </w:r>
          </w:p>
        </w:tc>
      </w:tr>
    </w:tbl>
    <w:p>
      <w:pPr>
        <w:spacing w:after="120"/>
      </w:pPr>
    </w:p>
    <w:p>
      <w:pPr>
        <w:pStyle w:val="Heading2"/>
        <w:spacing w:after="120" w:before="320"/>
      </w:pPr>
      <w:r>
        <w:rPr>
          <w:rFonts w:ascii="Arial" w:cs="Arial" w:eastAsia="Arial" w:hAnsi="Arial"/>
          <w:b/>
          <w:bCs/>
          <w:color w:val="2E75B6"/>
          <w:sz w:val="28"/>
          <w:szCs w:val="28"/>
        </w:rPr>
        <w:t xml:space="preserve">2.2 Hardware Inventory and Condition Assessment</w:t>
      </w:r>
    </w:p>
    <w:p>
      <w:pPr>
        <w:spacing w:after="120" w:before="0"/>
        <w:jc w:val="left"/>
      </w:pPr>
      <w:r>
        <w:rPr>
          <w:rFonts w:ascii="Arial" w:cs="Arial" w:eastAsia="Arial" w:hAnsi="Arial"/>
          <w:b w:val="false"/>
          <w:bCs w:val="false"/>
          <w:i w:val="false"/>
          <w:iCs w:val="false"/>
          <w:color w:val="1A1A2E"/>
          <w:sz w:val="22"/>
          <w:szCs w:val="22"/>
        </w:rPr>
        <w:t xml:space="preserve">BarPass shall deliver to Venue Operator the following hardware ("Equipment"):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720"/>
        <w:gridCol w:w="1440"/>
      </w:tblGrid>
      <w:tr>
        <w:tc>
          <w:tcPr>
            <w:tcW w:type="dxa" w:w="31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20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c>
          <w:tcPr>
            <w:tcW w:type="dxa" w:w="7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Qty</w:t>
            </w:r>
          </w:p>
        </w:tc>
        <w:tc>
          <w:tcPr>
            <w:tcW w:type="dxa" w:w="14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Assessed Value (USD)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iPad (ruggedized)</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Apple iPad 10th Gen, 64GB, with rugged case</w:t>
            </w:r>
          </w:p>
        </w:tc>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$849.00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ID/Passport Scanner</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AAMVA-certified barcode + NFC scanner module</w:t>
            </w:r>
          </w:p>
        </w:tc>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$320.00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Charging Dock</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Venue-mounted 20W certified charger + cable</w:t>
            </w:r>
          </w:p>
        </w:tc>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$45.00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BarPass Stand</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Tamper-resistant countertop mounting bracket</w:t>
            </w:r>
          </w:p>
        </w:tc>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$120.00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Total Equipment Value</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
            </w:r>
          </w:p>
        </w:tc>
        <w:tc>
          <w:tcPr>
            <w:tcW w:type="dxa" w:w="7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$1,334.00 per station</w:t>
            </w:r>
          </w:p>
        </w:tc>
      </w:tr>
    </w:tbl>
    <w:p>
      <w:pPr>
        <w:spacing w:after="120"/>
      </w:pPr>
    </w:p>
    <w:p>
      <w:pPr>
        <w:spacing w:after="120" w:before="0"/>
        <w:jc w:val="left"/>
      </w:pPr>
      <w:r>
        <w:rPr>
          <w:rFonts w:ascii="Arial" w:cs="Arial" w:eastAsia="Arial" w:hAnsi="Arial"/>
          <w:b w:val="false"/>
          <w:bCs w:val="false"/>
          <w:i w:val="false"/>
          <w:iCs w:val="false"/>
          <w:color w:val="1A1A2E"/>
          <w:sz w:val="22"/>
          <w:szCs w:val="22"/>
        </w:rPr>
        <w:t xml:space="preserve">Upon delivery, both parties shall jointly complete a Hardware Condition Inspection Form documenting any pre-existing damage. Absence of a signed inspection form constitutes acceptance of equipment in new condition.</w:t>
      </w:r>
    </w:p>
    <w:p>
      <w:pPr>
        <w:spacing w:after="120"/>
      </w:pPr>
    </w:p>
    <w:p>
      <w:pPr>
        <w:pStyle w:val="Heading2"/>
        <w:spacing w:after="120" w:before="320"/>
      </w:pPr>
      <w:r>
        <w:rPr>
          <w:rFonts w:ascii="Arial" w:cs="Arial" w:eastAsia="Arial" w:hAnsi="Arial"/>
          <w:b/>
          <w:bCs/>
          <w:color w:val="2E75B6"/>
          <w:sz w:val="28"/>
          <w:szCs w:val="28"/>
        </w:rPr>
        <w:t xml:space="preserve">2.3 Venue Operator Obligations</w:t>
      </w:r>
    </w:p>
    <w:p>
      <w:pPr>
        <w:pStyle w:val="Heading3"/>
        <w:spacing w:after="80" w:before="240"/>
      </w:pPr>
      <w:r>
        <w:rPr>
          <w:rFonts w:ascii="Arial" w:cs="Arial" w:eastAsia="Arial" w:hAnsi="Arial"/>
          <w:b/>
          <w:bCs/>
          <w:color w:val="1B3A6B"/>
          <w:sz w:val="24"/>
          <w:szCs w:val="24"/>
        </w:rPr>
        <w:t xml:space="preserve">2.3.1 Authorized Use</w:t>
      </w:r>
    </w:p>
    <w:p>
      <w:pPr>
        <w:spacing w:after="120" w:before="0"/>
        <w:jc w:val="left"/>
      </w:pPr>
      <w:r>
        <w:rPr>
          <w:rFonts w:ascii="Arial" w:cs="Arial" w:eastAsia="Arial" w:hAnsi="Arial"/>
          <w:b w:val="false"/>
          <w:bCs w:val="false"/>
          <w:i w:val="false"/>
          <w:iCs w:val="false"/>
          <w:color w:val="1A1A2E"/>
          <w:sz w:val="22"/>
          <w:szCs w:val="22"/>
        </w:rPr>
        <w:t xml:space="preserve">Venue Operator may ONLY use the Equipment for:</w:t>
      </w:r>
    </w:p>
    <w:p>
      <w:pPr>
        <w:pStyle w:val="ListParagraph"/>
        <w:numPr>
          <w:ilvl w:val="0"/>
          <w:numId w:val="2"/>
        </w:numPr>
        <w:spacing w:after="80"/>
      </w:pPr>
      <w:r>
        <w:rPr>
          <w:rFonts w:ascii="Arial" w:cs="Arial" w:eastAsia="Arial" w:hAnsi="Arial"/>
          <w:b w:val="false"/>
          <w:bCs w:val="false"/>
          <w:color w:val="1A1A2E"/>
          <w:sz w:val="22"/>
          <w:szCs w:val="22"/>
        </w:rPr>
        <w:t xml:space="preserve">Age and identity verification of customers at the licensed venue address</w:t>
      </w:r>
    </w:p>
    <w:p>
      <w:pPr>
        <w:pStyle w:val="ListParagraph"/>
        <w:numPr>
          <w:ilvl w:val="0"/>
          <w:numId w:val="2"/>
        </w:numPr>
        <w:spacing w:after="80"/>
      </w:pPr>
      <w:r>
        <w:rPr>
          <w:rFonts w:ascii="Arial" w:cs="Arial" w:eastAsia="Arial" w:hAnsi="Arial"/>
          <w:b w:val="false"/>
          <w:bCs w:val="false"/>
          <w:color w:val="1A1A2E"/>
          <w:sz w:val="22"/>
          <w:szCs w:val="22"/>
        </w:rPr>
        <w:t xml:space="preserve">Operation of the BarPass platform in accordance with the Service Agreement</w:t>
      </w:r>
    </w:p>
    <w:p>
      <w:pPr>
        <w:pStyle w:val="ListParagraph"/>
        <w:numPr>
          <w:ilvl w:val="0"/>
          <w:numId w:val="2"/>
        </w:numPr>
        <w:spacing w:after="80"/>
      </w:pPr>
      <w:r>
        <w:rPr>
          <w:rFonts w:ascii="Arial" w:cs="Arial" w:eastAsia="Arial" w:hAnsi="Arial"/>
          <w:b w:val="false"/>
          <w:bCs w:val="false"/>
          <w:color w:val="1A1A2E"/>
          <w:sz w:val="22"/>
          <w:szCs w:val="22"/>
        </w:rPr>
        <w:t xml:space="preserve">Staff training as directed by BarPass onboarding protocols</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Venue Operator SHALL NOT:</w:t>
      </w:r>
    </w:p>
    <w:p>
      <w:pPr>
        <w:pStyle w:val="ListParagraph"/>
        <w:numPr>
          <w:ilvl w:val="0"/>
          <w:numId w:val="2"/>
        </w:numPr>
        <w:spacing w:after="80"/>
      </w:pPr>
      <w:r>
        <w:rPr>
          <w:rFonts w:ascii="Arial" w:cs="Arial" w:eastAsia="Arial" w:hAnsi="Arial"/>
          <w:b w:val="false"/>
          <w:bCs w:val="false"/>
          <w:color w:val="1A1A2E"/>
          <w:sz w:val="22"/>
          <w:szCs w:val="22"/>
        </w:rPr>
        <w:t xml:space="preserve">Move the Equipment to any address other than the registered venue without written consent</w:t>
      </w:r>
    </w:p>
    <w:p>
      <w:pPr>
        <w:pStyle w:val="ListParagraph"/>
        <w:numPr>
          <w:ilvl w:val="0"/>
          <w:numId w:val="2"/>
        </w:numPr>
        <w:spacing w:after="80"/>
      </w:pPr>
      <w:r>
        <w:rPr>
          <w:rFonts w:ascii="Arial" w:cs="Arial" w:eastAsia="Arial" w:hAnsi="Arial"/>
          <w:b w:val="false"/>
          <w:bCs w:val="false"/>
          <w:color w:val="1A1A2E"/>
          <w:sz w:val="22"/>
          <w:szCs w:val="22"/>
        </w:rPr>
        <w:t xml:space="preserve">Allow any third party to access, modify, or service the Equipment</w:t>
      </w:r>
    </w:p>
    <w:p>
      <w:pPr>
        <w:pStyle w:val="ListParagraph"/>
        <w:numPr>
          <w:ilvl w:val="0"/>
          <w:numId w:val="2"/>
        </w:numPr>
        <w:spacing w:after="80"/>
      </w:pPr>
      <w:r>
        <w:rPr>
          <w:rFonts w:ascii="Arial" w:cs="Arial" w:eastAsia="Arial" w:hAnsi="Arial"/>
          <w:b w:val="false"/>
          <w:bCs w:val="false"/>
          <w:color w:val="1A1A2E"/>
          <w:sz w:val="22"/>
          <w:szCs w:val="22"/>
        </w:rPr>
        <w:t xml:space="preserve">Install unauthorized software, applications, or profiles on the device</w:t>
      </w:r>
    </w:p>
    <w:p>
      <w:pPr>
        <w:pStyle w:val="ListParagraph"/>
        <w:numPr>
          <w:ilvl w:val="0"/>
          <w:numId w:val="2"/>
        </w:numPr>
        <w:spacing w:after="80"/>
      </w:pPr>
      <w:r>
        <w:rPr>
          <w:rFonts w:ascii="Arial" w:cs="Arial" w:eastAsia="Arial" w:hAnsi="Arial"/>
          <w:b w:val="false"/>
          <w:bCs w:val="false"/>
          <w:color w:val="1A1A2E"/>
          <w:sz w:val="22"/>
          <w:szCs w:val="22"/>
        </w:rPr>
        <w:t xml:space="preserve">Attempt to jailbreak, root, or otherwise circumvent device security</w:t>
      </w:r>
    </w:p>
    <w:p>
      <w:pPr>
        <w:pStyle w:val="ListParagraph"/>
        <w:numPr>
          <w:ilvl w:val="0"/>
          <w:numId w:val="2"/>
        </w:numPr>
        <w:spacing w:after="80"/>
      </w:pPr>
      <w:r>
        <w:rPr>
          <w:rFonts w:ascii="Arial" w:cs="Arial" w:eastAsia="Arial" w:hAnsi="Arial"/>
          <w:b w:val="false"/>
          <w:bCs w:val="false"/>
          <w:color w:val="1A1A2E"/>
          <w:sz w:val="22"/>
          <w:szCs w:val="22"/>
        </w:rPr>
        <w:t xml:space="preserve">Use the Equipment for any purpose unrelated to BarPass platform operations</w:t>
      </w:r>
    </w:p>
    <w:p>
      <w:pPr>
        <w:spacing w:after="120"/>
      </w:pPr>
    </w:p>
    <w:p>
      <w:pPr>
        <w:pStyle w:val="Heading3"/>
        <w:spacing w:after="80" w:before="240"/>
      </w:pPr>
      <w:r>
        <w:rPr>
          <w:rFonts w:ascii="Arial" w:cs="Arial" w:eastAsia="Arial" w:hAnsi="Arial"/>
          <w:b/>
          <w:bCs/>
          <w:color w:val="1B3A6B"/>
          <w:sz w:val="24"/>
          <w:szCs w:val="24"/>
        </w:rPr>
        <w:t xml:space="preserve">2.3.2 Care and Maintenance Obligations</w:t>
      </w:r>
    </w:p>
    <w:p>
      <w:pPr>
        <w:pStyle w:val="ListParagraph"/>
        <w:numPr>
          <w:ilvl w:val="0"/>
          <w:numId w:val="2"/>
        </w:numPr>
        <w:spacing w:after="80"/>
      </w:pPr>
      <w:r>
        <w:rPr>
          <w:rFonts w:ascii="Arial" w:cs="Arial" w:eastAsia="Arial" w:hAnsi="Arial"/>
          <w:b w:val="false"/>
          <w:bCs w:val="false"/>
          <w:color w:val="1A1A2E"/>
          <w:sz w:val="22"/>
          <w:szCs w:val="22"/>
        </w:rPr>
        <w:t xml:space="preserve">Store Equipment in a climate-controlled environment (50-95°F, &lt;80% humidity)</w:t>
      </w:r>
    </w:p>
    <w:p>
      <w:pPr>
        <w:pStyle w:val="ListParagraph"/>
        <w:numPr>
          <w:ilvl w:val="0"/>
          <w:numId w:val="2"/>
        </w:numPr>
        <w:spacing w:after="80"/>
      </w:pPr>
      <w:r>
        <w:rPr>
          <w:rFonts w:ascii="Arial" w:cs="Arial" w:eastAsia="Arial" w:hAnsi="Arial"/>
          <w:b w:val="false"/>
          <w:bCs w:val="false"/>
          <w:color w:val="1A1A2E"/>
          <w:sz w:val="22"/>
          <w:szCs w:val="22"/>
        </w:rPr>
        <w:t xml:space="preserve">Clean Equipment with manufacturer-approved cleaning methods only</w:t>
      </w:r>
    </w:p>
    <w:p>
      <w:pPr>
        <w:pStyle w:val="ListParagraph"/>
        <w:numPr>
          <w:ilvl w:val="0"/>
          <w:numId w:val="2"/>
        </w:numPr>
        <w:spacing w:after="80"/>
      </w:pPr>
      <w:r>
        <w:rPr>
          <w:rFonts w:ascii="Arial" w:cs="Arial" w:eastAsia="Arial" w:hAnsi="Arial"/>
          <w:b w:val="false"/>
          <w:bCs w:val="false"/>
          <w:color w:val="1A1A2E"/>
          <w:sz w:val="22"/>
          <w:szCs w:val="22"/>
        </w:rPr>
        <w:t xml:space="preserve">Report any malfunction, damage, or suspected tampering to BarPass within 24 hours via the designated support channel</w:t>
      </w:r>
    </w:p>
    <w:p>
      <w:pPr>
        <w:pStyle w:val="ListParagraph"/>
        <w:numPr>
          <w:ilvl w:val="0"/>
          <w:numId w:val="2"/>
        </w:numPr>
        <w:spacing w:after="80"/>
      </w:pPr>
      <w:r>
        <w:rPr>
          <w:rFonts w:ascii="Arial" w:cs="Arial" w:eastAsia="Arial" w:hAnsi="Arial"/>
          <w:b w:val="false"/>
          <w:bCs w:val="false"/>
          <w:color w:val="1A1A2E"/>
          <w:sz w:val="22"/>
          <w:szCs w:val="22"/>
        </w:rPr>
        <w:t xml:space="preserve">Maintain Equipment in a secure location when not in active use, locked if possible</w:t>
      </w:r>
    </w:p>
    <w:p>
      <w:pPr>
        <w:pStyle w:val="ListParagraph"/>
        <w:numPr>
          <w:ilvl w:val="0"/>
          <w:numId w:val="2"/>
        </w:numPr>
        <w:spacing w:after="80"/>
      </w:pPr>
      <w:r>
        <w:rPr>
          <w:rFonts w:ascii="Arial" w:cs="Arial" w:eastAsia="Arial" w:hAnsi="Arial"/>
          <w:b w:val="false"/>
          <w:bCs w:val="false"/>
          <w:color w:val="1A1A2E"/>
          <w:sz w:val="22"/>
          <w:szCs w:val="22"/>
        </w:rPr>
        <w:t xml:space="preserve">Allow BarPass authorized technicians access for maintenance, updates, or inspections with 24-hour notice</w:t>
      </w:r>
    </w:p>
    <w:p>
      <w:pPr>
        <w:spacing w:after="120"/>
      </w:pPr>
    </w:p>
    <w:p>
      <w:pPr>
        <w:pStyle w:val="Heading2"/>
        <w:spacing w:after="120" w:before="320"/>
      </w:pPr>
      <w:r>
        <w:rPr>
          <w:rFonts w:ascii="Arial" w:cs="Arial" w:eastAsia="Arial" w:hAnsi="Arial"/>
          <w:b/>
          <w:bCs/>
          <w:color w:val="2E75B6"/>
          <w:sz w:val="28"/>
          <w:szCs w:val="28"/>
        </w:rPr>
        <w:t xml:space="preserve">2.4 Liability, Penalties, and Insurance</w:t>
      </w:r>
    </w:p>
    <w:p>
      <w:pPr>
        <w:pStyle w:val="Heading3"/>
        <w:spacing w:after="80" w:before="240"/>
      </w:pPr>
      <w:r>
        <w:rPr>
          <w:rFonts w:ascii="Arial" w:cs="Arial" w:eastAsia="Arial" w:hAnsi="Arial"/>
          <w:b/>
          <w:bCs/>
          <w:color w:val="1B3A6B"/>
          <w:sz w:val="24"/>
          <w:szCs w:val="24"/>
        </w:rPr>
        <w:t xml:space="preserve">2.4.1 Penalty Schedule</w:t>
      </w:r>
    </w:p>
    <w:tbl>
      <w:tblPr>
        <w:tblW w:type="dxa" w:w="9360"/>
        <w:tblBorders>
          <w:top w:val="single" w:color="D35400" w:sz="4"/>
          <w:left w:val="single" w:color="D35400" w:sz="4"/>
          <w:bottom w:val="single" w:color="D35400" w:sz="4"/>
          <w:right w:val="single" w:color="D35400" w:sz="4"/>
          <w:insideH w:val="single" w:color="auto" w:sz="4"/>
          <w:insideV w:val="single" w:color="auto" w:sz="4"/>
        </w:tblBorders>
      </w:tblPr>
      <w:tblGrid>
        <w:gridCol w:w="9360"/>
      </w:tblGrid>
      <w:tr>
        <w:tc>
          <w:tcPr>
            <w:tcW w:type="dxa" w:w="9360"/>
            <w:tcBorders>
              <w:top w:val="none"/>
              <w:left w:val="single" w:color="D35400" w:sz="16"/>
              <w:bottom w:val="none"/>
              <w:right w:val="none"/>
            </w:tcBorders>
            <w:shd w:fill="FEF9E7" w:val="clear"/>
            <w:tcMar>
              <w:top w:type="dxa" w:w="100"/>
              <w:left w:type="dxa" w:w="160"/>
              <w:bottom w:type="dxa" w:w="100"/>
              <w:right w:type="dxa" w:w="160"/>
            </w:tcMar>
          </w:tcPr>
          <w:p>
            <w:pPr>
              <w:spacing w:after="0"/>
            </w:pPr>
            <w:r>
              <w:rPr>
                <w:rFonts w:ascii="Arial" w:cs="Arial" w:eastAsia="Arial" w:hAnsi="Arial"/>
                <w:b/>
                <w:bCs/>
                <w:color w:val="D35400"/>
                <w:sz w:val="22"/>
                <w:szCs w:val="22"/>
              </w:rPr>
              <w:t xml:space="preserve">⚠  </w:t>
            </w:r>
            <w:r>
              <w:rPr>
                <w:rFonts w:ascii="Arial" w:cs="Arial" w:eastAsia="Arial" w:hAnsi="Arial"/>
                <w:color w:val="1A1A2E"/>
                <w:sz w:val="22"/>
                <w:szCs w:val="22"/>
              </w:rPr>
              <w:t xml:space="preserve">Venue Operator accepts full financial responsibility for Equipment from the moment of delivery until return. The following penalty schedule applies regardless of cause, except documented BarPass manufacturing defects.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Damage Category</w:t>
            </w:r>
          </w:p>
        </w:tc>
        <w:tc>
          <w:tcPr>
            <w:tcW w:type="dxa" w:w="57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Assessment and Venue Operator Obligation</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Minor cosmetic damage (scratches, scuffs)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No charge if Equipment remains fully functional</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Cracked screen — functional device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$180 repair fee, charged within 30 days of discovery</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Cracked screen — non-functional device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$600 replacement fee (partial — BarPass absorbs depreciation)</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Physical damage — complete hardware failure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100% of current replacement value per inventory table (Section 2.2)</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Loss of device — cannot locate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125% of replacement value (includes administrative and re-provisioning costs)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Confirmed theft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100% of replacement value + Venue Operator must file police report within 24 hours and provide BarPass with report number</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Unauthorized modification or jailbreak</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100% of replacement value + immediate termination of Service Agreement without refund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Willful destruction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150% of replacement value + legal action at BarPass discretion</w:t>
            </w:r>
          </w:p>
        </w:tc>
      </w:tr>
    </w:tbl>
    <w:p>
      <w:pPr>
        <w:spacing w:after="120"/>
      </w:pPr>
    </w:p>
    <w:p>
      <w:pPr>
        <w:pStyle w:val="Heading3"/>
        <w:spacing w:after="80" w:before="240"/>
      </w:pPr>
      <w:r>
        <w:rPr>
          <w:rFonts w:ascii="Arial" w:cs="Arial" w:eastAsia="Arial" w:hAnsi="Arial"/>
          <w:b/>
          <w:bCs/>
          <w:color w:val="1B3A6B"/>
          <w:sz w:val="24"/>
          <w:szCs w:val="24"/>
        </w:rPr>
        <w:t xml:space="preserve">2.4.2 Insurance Requirement</w:t>
      </w:r>
    </w:p>
    <w:p>
      <w:pPr>
        <w:spacing w:after="120" w:before="0"/>
        <w:jc w:val="left"/>
      </w:pPr>
      <w:r>
        <w:rPr>
          <w:rFonts w:ascii="Arial" w:cs="Arial" w:eastAsia="Arial" w:hAnsi="Arial"/>
          <w:b w:val="false"/>
          <w:bCs w:val="false"/>
          <w:i w:val="false"/>
          <w:iCs w:val="false"/>
          <w:color w:val="1A1A2E"/>
          <w:sz w:val="22"/>
          <w:szCs w:val="22"/>
        </w:rPr>
        <w:t xml:space="preserve">Venue Operator MUST maintain, throughout the Agreement term:</w:t>
      </w:r>
    </w:p>
    <w:p>
      <w:pPr>
        <w:pStyle w:val="ListParagraph"/>
        <w:numPr>
          <w:ilvl w:val="0"/>
          <w:numId w:val="2"/>
        </w:numPr>
        <w:spacing w:after="80"/>
      </w:pPr>
      <w:r>
        <w:rPr>
          <w:rFonts w:ascii="Arial" w:cs="Arial" w:eastAsia="Arial" w:hAnsi="Arial"/>
          <w:b w:val="false"/>
          <w:bCs w:val="false"/>
          <w:color w:val="1A1A2E"/>
          <w:sz w:val="22"/>
          <w:szCs w:val="22"/>
        </w:rPr>
        <w:t xml:space="preserve">Commercial General Liability insurance, minimum $1,000,000 per occurrence</w:t>
      </w:r>
    </w:p>
    <w:p>
      <w:pPr>
        <w:pStyle w:val="ListParagraph"/>
        <w:numPr>
          <w:ilvl w:val="0"/>
          <w:numId w:val="2"/>
        </w:numPr>
        <w:spacing w:after="80"/>
      </w:pPr>
      <w:r>
        <w:rPr>
          <w:rFonts w:ascii="Arial" w:cs="Arial" w:eastAsia="Arial" w:hAnsi="Arial"/>
          <w:b w:val="false"/>
          <w:bCs w:val="false"/>
          <w:color w:val="1A1A2E"/>
          <w:sz w:val="22"/>
          <w:szCs w:val="22"/>
        </w:rPr>
        <w:t xml:space="preserve">Business Personal Property coverage sufficient to cover Equipment replacement value</w:t>
      </w:r>
    </w:p>
    <w:p>
      <w:pPr>
        <w:pStyle w:val="ListParagraph"/>
        <w:numPr>
          <w:ilvl w:val="0"/>
          <w:numId w:val="2"/>
        </w:numPr>
        <w:spacing w:after="80"/>
      </w:pPr>
      <w:r>
        <w:rPr>
          <w:rFonts w:ascii="Arial" w:cs="Arial" w:eastAsia="Arial" w:hAnsi="Arial"/>
          <w:b w:val="false"/>
          <w:bCs w:val="false"/>
          <w:color w:val="1A1A2E"/>
          <w:sz w:val="22"/>
          <w:szCs w:val="22"/>
        </w:rPr>
        <w:t xml:space="preserve">BarPass Technologies, Inc. listed as Additional Insured on all relevant policies</w:t>
      </w:r>
    </w:p>
    <w:p>
      <w:pPr>
        <w:pStyle w:val="ListParagraph"/>
        <w:numPr>
          <w:ilvl w:val="0"/>
          <w:numId w:val="2"/>
        </w:numPr>
        <w:spacing w:after="80"/>
      </w:pPr>
      <w:r>
        <w:rPr>
          <w:rFonts w:ascii="Arial" w:cs="Arial" w:eastAsia="Arial" w:hAnsi="Arial"/>
          <w:b w:val="false"/>
          <w:bCs w:val="false"/>
          <w:color w:val="1A1A2E"/>
          <w:sz w:val="22"/>
          <w:szCs w:val="22"/>
        </w:rPr>
        <w:t xml:space="preserve">Certificate of Insurance provided to BarPass within 10 days of Agreement execution and upon each renewal</w:t>
      </w:r>
    </w:p>
    <w:p>
      <w:pPr>
        <w:spacing w:after="120"/>
      </w:pPr>
    </w:p>
    <w:p>
      <w:pPr>
        <w:pStyle w:val="Heading2"/>
        <w:spacing w:after="120" w:before="320"/>
      </w:pPr>
      <w:r>
        <w:rPr>
          <w:rFonts w:ascii="Arial" w:cs="Arial" w:eastAsia="Arial" w:hAnsi="Arial"/>
          <w:b/>
          <w:bCs/>
          <w:color w:val="2E75B6"/>
          <w:sz w:val="28"/>
          <w:szCs w:val="28"/>
        </w:rPr>
        <w:t xml:space="preserve">2.5 Software and Data Provisions</w:t>
      </w:r>
    </w:p>
    <w:p>
      <w:pPr>
        <w:spacing w:after="120" w:before="0"/>
        <w:jc w:val="left"/>
      </w:pPr>
      <w:r>
        <w:rPr>
          <w:rFonts w:ascii="Arial" w:cs="Arial" w:eastAsia="Arial" w:hAnsi="Arial"/>
          <w:b w:val="false"/>
          <w:bCs w:val="false"/>
          <w:i w:val="false"/>
          <w:iCs w:val="false"/>
          <w:color w:val="1A1A2E"/>
          <w:sz w:val="22"/>
          <w:szCs w:val="22"/>
        </w:rPr>
        <w:t xml:space="preserve">The software installed on Equipment remains the exclusive intellectual property of BarPass Technologies, Inc. Venue Operator receives a non-exclusive, non-transferable, revocable license to use the software solely for authorized purposes during the Agreement term.</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Upon Agreement termination, BarPass has the right to remotely wipe all BarPass software and data from the Equipment via MDM. Venue Operator consents to this remote wipe capability as a condition of receiving Equipment.</w:t>
      </w:r>
    </w:p>
    <w:p>
      <w:pPr>
        <w:spacing w:after="120"/>
      </w:pPr>
    </w:p>
    <w:p>
      <w:pPr>
        <w:pStyle w:val="Heading2"/>
        <w:spacing w:after="120" w:before="320"/>
      </w:pPr>
      <w:r>
        <w:rPr>
          <w:rFonts w:ascii="Arial" w:cs="Arial" w:eastAsia="Arial" w:hAnsi="Arial"/>
          <w:b/>
          <w:bCs/>
          <w:color w:val="2E75B6"/>
          <w:sz w:val="28"/>
          <w:szCs w:val="28"/>
        </w:rPr>
        <w:t xml:space="preserve">2.6 Return Conditions and Process</w:t>
      </w:r>
    </w:p>
    <w:p>
      <w:pPr>
        <w:pStyle w:val="ListParagraph"/>
        <w:numPr>
          <w:ilvl w:val="0"/>
          <w:numId w:val="3"/>
        </w:numPr>
        <w:spacing w:after="80"/>
      </w:pPr>
      <w:r>
        <w:rPr>
          <w:rFonts w:ascii="Arial" w:cs="Arial" w:eastAsia="Arial" w:hAnsi="Arial"/>
          <w:color w:val="1A1A2E"/>
          <w:sz w:val="22"/>
          <w:szCs w:val="22"/>
        </w:rPr>
        <w:t xml:space="preserve">BarPass shall provide 7 days written notice prior to expected return date</w:t>
      </w:r>
    </w:p>
    <w:p>
      <w:pPr>
        <w:pStyle w:val="ListParagraph"/>
        <w:numPr>
          <w:ilvl w:val="0"/>
          <w:numId w:val="3"/>
        </w:numPr>
        <w:spacing w:after="80"/>
      </w:pPr>
      <w:r>
        <w:rPr>
          <w:rFonts w:ascii="Arial" w:cs="Arial" w:eastAsia="Arial" w:hAnsi="Arial"/>
          <w:color w:val="1A1A2E"/>
          <w:sz w:val="22"/>
          <w:szCs w:val="22"/>
        </w:rPr>
        <w:t xml:space="preserve">Equipment must be returned in same condition as delivered, ordinary wear and tear excepted</w:t>
      </w:r>
    </w:p>
    <w:p>
      <w:pPr>
        <w:pStyle w:val="ListParagraph"/>
        <w:numPr>
          <w:ilvl w:val="0"/>
          <w:numId w:val="3"/>
        </w:numPr>
        <w:spacing w:after="80"/>
      </w:pPr>
      <w:r>
        <w:rPr>
          <w:rFonts w:ascii="Arial" w:cs="Arial" w:eastAsia="Arial" w:hAnsi="Arial"/>
          <w:color w:val="1A1A2E"/>
          <w:sz w:val="22"/>
          <w:szCs w:val="22"/>
        </w:rPr>
        <w:t xml:space="preserve">Venue Operator must remove all proprietary information and return all accessories (cables, mounts, cases)</w:t>
      </w:r>
    </w:p>
    <w:p>
      <w:pPr>
        <w:pStyle w:val="ListParagraph"/>
        <w:numPr>
          <w:ilvl w:val="0"/>
          <w:numId w:val="3"/>
        </w:numPr>
        <w:spacing w:after="80"/>
      </w:pPr>
      <w:r>
        <w:rPr>
          <w:rFonts w:ascii="Arial" w:cs="Arial" w:eastAsia="Arial" w:hAnsi="Arial"/>
          <w:color w:val="1A1A2E"/>
          <w:sz w:val="22"/>
          <w:szCs w:val="22"/>
        </w:rPr>
        <w:t xml:space="preserve">BarPass will conduct return inspection within 48 hours of receipt</w:t>
      </w:r>
    </w:p>
    <w:p>
      <w:pPr>
        <w:pStyle w:val="ListParagraph"/>
        <w:numPr>
          <w:ilvl w:val="0"/>
          <w:numId w:val="3"/>
        </w:numPr>
        <w:spacing w:after="80"/>
      </w:pPr>
      <w:r>
        <w:rPr>
          <w:rFonts w:ascii="Arial" w:cs="Arial" w:eastAsia="Arial" w:hAnsi="Arial"/>
          <w:color w:val="1A1A2E"/>
          <w:sz w:val="22"/>
          <w:szCs w:val="22"/>
        </w:rPr>
        <w:t xml:space="preserve">Damage assessments will be invoiced within 14 days of return inspection</w:t>
      </w:r>
    </w:p>
    <w:p>
      <w:pPr>
        <w:pStyle w:val="ListParagraph"/>
        <w:numPr>
          <w:ilvl w:val="0"/>
          <w:numId w:val="3"/>
        </w:numPr>
        <w:spacing w:after="80"/>
      </w:pPr>
      <w:r>
        <w:rPr>
          <w:rFonts w:ascii="Arial" w:cs="Arial" w:eastAsia="Arial" w:hAnsi="Arial"/>
          <w:color w:val="1A1A2E"/>
          <w:sz w:val="22"/>
          <w:szCs w:val="22"/>
        </w:rPr>
        <w:t xml:space="preserve">Security deposit (if applicable) will be returned within 30 days, net of any assessed charges</w:t>
      </w:r>
    </w:p>
    <w:p>
      <w:pPr>
        <w:spacing w:after="120"/>
      </w:pPr>
    </w:p>
    <w:p>
      <w:pPr>
        <w:pStyle w:val="Heading2"/>
        <w:spacing w:after="120" w:before="320"/>
      </w:pPr>
      <w:r>
        <w:rPr>
          <w:rFonts w:ascii="Arial" w:cs="Arial" w:eastAsia="Arial" w:hAnsi="Arial"/>
          <w:b/>
          <w:bCs/>
          <w:color w:val="2E75B6"/>
          <w:sz w:val="28"/>
          <w:szCs w:val="28"/>
        </w:rPr>
        <w:t xml:space="preserve">2.7 Termination</w:t>
      </w:r>
    </w:p>
    <w:p>
      <w:pPr>
        <w:spacing w:after="120" w:before="0"/>
        <w:jc w:val="left"/>
      </w:pPr>
      <w:r>
        <w:rPr>
          <w:rFonts w:ascii="Arial" w:cs="Arial" w:eastAsia="Arial" w:hAnsi="Arial"/>
          <w:b w:val="false"/>
          <w:bCs w:val="false"/>
          <w:i w:val="false"/>
          <w:iCs w:val="false"/>
          <w:color w:val="1A1A2E"/>
          <w:sz w:val="22"/>
          <w:szCs w:val="22"/>
        </w:rPr>
        <w:t xml:space="preserve">This Agreement may be terminated:</w:t>
      </w:r>
    </w:p>
    <w:p>
      <w:pPr>
        <w:pStyle w:val="ListParagraph"/>
        <w:numPr>
          <w:ilvl w:val="0"/>
          <w:numId w:val="2"/>
        </w:numPr>
        <w:spacing w:after="80"/>
      </w:pPr>
      <w:r>
        <w:rPr>
          <w:rFonts w:ascii="Arial" w:cs="Arial" w:eastAsia="Arial" w:hAnsi="Arial"/>
          <w:b w:val="false"/>
          <w:bCs w:val="false"/>
          <w:color w:val="1A1A2E"/>
          <w:sz w:val="22"/>
          <w:szCs w:val="22"/>
        </w:rPr>
        <w:t xml:space="preserve">By either party with 30 days written notice without cause</w:t>
      </w:r>
    </w:p>
    <w:p>
      <w:pPr>
        <w:pStyle w:val="ListParagraph"/>
        <w:numPr>
          <w:ilvl w:val="0"/>
          <w:numId w:val="2"/>
        </w:numPr>
        <w:spacing w:after="80"/>
      </w:pPr>
      <w:r>
        <w:rPr>
          <w:rFonts w:ascii="Arial" w:cs="Arial" w:eastAsia="Arial" w:hAnsi="Arial"/>
          <w:b w:val="false"/>
          <w:bCs w:val="false"/>
          <w:color w:val="1A1A2E"/>
          <w:sz w:val="22"/>
          <w:szCs w:val="22"/>
        </w:rPr>
        <w:t xml:space="preserve">By BarPass immediately upon: (a) Venue Operator's breach of Section 2.3; (b) loss of DABT alcohol license; (c) insolvency or bankruptcy filing; (d) confirmed unauthorized use</w:t>
      </w:r>
    </w:p>
    <w:p>
      <w:pPr>
        <w:pStyle w:val="ListParagraph"/>
        <w:numPr>
          <w:ilvl w:val="0"/>
          <w:numId w:val="2"/>
        </w:numPr>
        <w:spacing w:after="80"/>
      </w:pPr>
      <w:r>
        <w:rPr>
          <w:rFonts w:ascii="Arial" w:cs="Arial" w:eastAsia="Arial" w:hAnsi="Arial"/>
          <w:b w:val="false"/>
          <w:bCs w:val="false"/>
          <w:color w:val="1A1A2E"/>
          <w:sz w:val="22"/>
          <w:szCs w:val="22"/>
        </w:rPr>
        <w:t xml:space="preserve">Automatically upon expiration of term without renewal</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Post-termination: Venue Operator must return Equipment within 5 business days of termination. Failure to return Equipment will result in BarPass pursuing all available legal remedies including action for replevin under Florida Statute § 78.</w:t>
      </w:r>
    </w:p>
    <w:p>
      <w:pPr>
        <w:spacing w:after="120"/>
      </w:pPr>
    </w:p>
    <w:p>
      <w:pPr>
        <w:pStyle w:val="Heading2"/>
        <w:spacing w:after="120" w:before="320"/>
      </w:pPr>
      <w:r>
        <w:rPr>
          <w:rFonts w:ascii="Arial" w:cs="Arial" w:eastAsia="Arial" w:hAnsi="Arial"/>
          <w:b/>
          <w:bCs/>
          <w:color w:val="2E75B6"/>
          <w:sz w:val="28"/>
          <w:szCs w:val="28"/>
        </w:rPr>
        <w:t xml:space="preserve">2.8 Indemnification</w:t>
      </w:r>
    </w:p>
    <w:p>
      <w:pPr>
        <w:spacing w:after="120" w:before="0"/>
        <w:jc w:val="left"/>
      </w:pPr>
      <w:r>
        <w:rPr>
          <w:rFonts w:ascii="Arial" w:cs="Arial" w:eastAsia="Arial" w:hAnsi="Arial"/>
          <w:b w:val="false"/>
          <w:bCs w:val="false"/>
          <w:i w:val="false"/>
          <w:iCs w:val="false"/>
          <w:color w:val="1A1A2E"/>
          <w:sz w:val="22"/>
          <w:szCs w:val="22"/>
        </w:rPr>
        <w:t xml:space="preserve">Venue Operator agrees to indemnify, defend, and hold harmless BarPass Technologies, Inc., its officers, directors, employees, and agents from any claims, losses, damages, and expenses (including reasonable attorney's fees) arising from: (a) Venue Operator's use or misuse of Equipment; (b) Venue Operator's breach of this Agreement; (c) any third-party claims related to Equipment while in Venue Operator's possession.</w:t>
      </w:r>
    </w:p>
    <w:p>
      <w:r>
        <w:br w:type="page"/>
      </w:r>
    </w:p>
    <w:p>
      <w:pPr>
        <w:spacing w:after="80" w:before="320"/>
      </w:pPr>
      <w:r>
        <w:rPr>
          <w:rFonts w:ascii="Arial" w:cs="Arial" w:eastAsia="Arial" w:hAnsi="Arial"/>
          <w:b/>
          <w:bCs/>
          <w:color w:val="FFFFFF"/>
          <w:sz w:val="18"/>
          <w:szCs w:val="18"/>
          <w:shd w:fill="C0392B" w:val="clear"/>
        </w:rPr>
        <w:t xml:space="preserve">  SECTION 3 — RISK MITIGATION  </w:t>
      </w:r>
    </w:p>
    <w:p>
      <w:pPr>
        <w:pStyle w:val="Heading1"/>
        <w:spacing w:after="160" w:before="400"/>
      </w:pPr>
      <w:r>
        <w:rPr>
          <w:rFonts w:ascii="Arial" w:cs="Arial" w:eastAsia="Arial" w:hAnsi="Arial"/>
          <w:b/>
          <w:bCs/>
          <w:color w:val="1B3A6B"/>
          <w:sz w:val="36"/>
          <w:szCs w:val="36"/>
        </w:rPr>
        <w:t xml:space="preserve">3. Risk Mitigation Plan — Refund Storm Protocol</w:t>
      </w:r>
    </w:p>
    <w:p>
      <w:pPr>
        <w:pBdr>
          <w:bottom w:val="single" w:color="C0392B" w:sz="8" w:space="1"/>
        </w:pBdr>
        <w:spacing w:after="160"/>
      </w:pPr>
    </w:p>
    <w:p>
      <w:pPr>
        <w:pStyle w:val="Heading2"/>
        <w:spacing w:after="120" w:before="320"/>
      </w:pPr>
      <w:r>
        <w:rPr>
          <w:rFonts w:ascii="Arial" w:cs="Arial" w:eastAsia="Arial" w:hAnsi="Arial"/>
          <w:b/>
          <w:bCs/>
          <w:color w:val="2E75B6"/>
          <w:sz w:val="28"/>
          <w:szCs w:val="28"/>
        </w:rPr>
        <w:t xml:space="preserve">3.1 Refund Storm Definition and Triggers</w:t>
      </w:r>
    </w:p>
    <w:p>
      <w:pPr>
        <w:spacing w:after="120" w:before="0"/>
        <w:jc w:val="left"/>
      </w:pPr>
      <w:r>
        <w:rPr>
          <w:rFonts w:ascii="Arial" w:cs="Arial" w:eastAsia="Arial" w:hAnsi="Arial"/>
          <w:b w:val="false"/>
          <w:bCs w:val="false"/>
          <w:i w:val="false"/>
          <w:iCs w:val="false"/>
          <w:color w:val="1A1A2E"/>
          <w:sz w:val="22"/>
          <w:szCs w:val="22"/>
        </w:rPr>
        <w:t xml:space="preserve">A "Refund Storm" is defined as any scenario in which refund requests reach levels that indicate systemic fraud, coordinated abuse, or technical malfunction rather than legitimate customer service needs.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840"/>
        <w:gridCol w:w="3480"/>
      </w:tblGrid>
      <w:tr>
        <w:tc>
          <w:tcPr>
            <w:tcW w:type="dxa" w:w="20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Alert Level</w:t>
            </w:r>
          </w:p>
        </w:tc>
        <w:tc>
          <w:tcPr>
            <w:tcW w:type="dxa" w:w="38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 Condition</w:t>
            </w:r>
          </w:p>
        </w:tc>
        <w:tc>
          <w:tcPr>
            <w:tcW w:type="dxa" w:w="34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Automatic Response</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YELLOW (Warning)</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&gt;5 refunds from a single Venue in any 60-minute window</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Alert sent to Venue Owner and BarPass Operations team. No automatic restriction.</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ORANGE (Elevated)</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&gt;3 refunds processed by a single bartender in 30 minutes, OR &gt;$500 in refunds from one Venue in 60 minutes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Automatic 30-minute cooling period: new refunds require dual Manager+Owner approval. Immediate notification to BarPass fraud team.</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RED (Critical)</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&gt;10 refunds from one Venue in 60 minutes, OR &gt;$1,000 in refunds in 30 minutes, OR same transaction refunded twice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Automatic freeze of all refund capabilities for the Venue. BarPass Operations must manually re-enable. Full audit log preservation triggered.</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BLACK (Catastrophic)</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Platform-wide unusual pattern (&gt;50 refunds across multiple Venues in 30 minutes)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Platform-wide refund freeze. Emergency incident declared. CEO and Legal notified. Payment processor (Stripe) notified.</w:t>
            </w:r>
          </w:p>
        </w:tc>
      </w:tr>
    </w:tbl>
    <w:p>
      <w:pPr>
        <w:spacing w:after="120"/>
      </w:pPr>
    </w:p>
    <w:p>
      <w:pPr>
        <w:pStyle w:val="Heading2"/>
        <w:spacing w:after="120" w:before="320"/>
      </w:pPr>
      <w:r>
        <w:rPr>
          <w:rFonts w:ascii="Arial" w:cs="Arial" w:eastAsia="Arial" w:hAnsi="Arial"/>
          <w:b/>
          <w:bCs/>
          <w:color w:val="2E75B6"/>
          <w:sz w:val="28"/>
          <w:szCs w:val="28"/>
        </w:rPr>
        <w:t xml:space="preserve">3.2 Possible Causes and Risk Vectors</w:t>
      </w:r>
    </w:p>
    <w:p>
      <w:pPr>
        <w:pStyle w:val="Heading3"/>
        <w:spacing w:after="80" w:before="240"/>
      </w:pPr>
      <w:r>
        <w:rPr>
          <w:rFonts w:ascii="Arial" w:cs="Arial" w:eastAsia="Arial" w:hAnsi="Arial"/>
          <w:b/>
          <w:bCs/>
          <w:color w:val="1B3A6B"/>
          <w:sz w:val="24"/>
          <w:szCs w:val="24"/>
        </w:rPr>
        <w:t xml:space="preserve">3.2.1 Internal Fraud — Highest Probability</w:t>
      </w:r>
    </w:p>
    <w:p>
      <w:pPr>
        <w:pStyle w:val="ListParagraph"/>
        <w:numPr>
          <w:ilvl w:val="0"/>
          <w:numId w:val="2"/>
        </w:numPr>
        <w:spacing w:after="80"/>
      </w:pPr>
      <w:r>
        <w:rPr>
          <w:rFonts w:ascii="Arial" w:cs="Arial" w:eastAsia="Arial" w:hAnsi="Arial"/>
          <w:b w:val="false"/>
          <w:bCs w:val="false"/>
          <w:color w:val="1A1A2E"/>
          <w:sz w:val="22"/>
          <w:szCs w:val="22"/>
        </w:rPr>
        <w:t xml:space="preserve">Collusion between bartender and customer: bartender processes refund, shares cash with customer</w:t>
      </w:r>
    </w:p>
    <w:p>
      <w:pPr>
        <w:pStyle w:val="ListParagraph"/>
        <w:numPr>
          <w:ilvl w:val="0"/>
          <w:numId w:val="2"/>
        </w:numPr>
        <w:spacing w:after="80"/>
      </w:pPr>
      <w:r>
        <w:rPr>
          <w:rFonts w:ascii="Arial" w:cs="Arial" w:eastAsia="Arial" w:hAnsi="Arial"/>
          <w:b w:val="false"/>
          <w:bCs w:val="false"/>
          <w:color w:val="1A1A2E"/>
          <w:sz w:val="22"/>
          <w:szCs w:val="22"/>
        </w:rPr>
        <w:t xml:space="preserve">Bartender void abuse: voids legitimate transactions to pocket payment</w:t>
      </w:r>
    </w:p>
    <w:p>
      <w:pPr>
        <w:pStyle w:val="ListParagraph"/>
        <w:numPr>
          <w:ilvl w:val="0"/>
          <w:numId w:val="2"/>
        </w:numPr>
        <w:spacing w:after="80"/>
      </w:pPr>
      <w:r>
        <w:rPr>
          <w:rFonts w:ascii="Arial" w:cs="Arial" w:eastAsia="Arial" w:hAnsi="Arial"/>
          <w:b w:val="false"/>
          <w:bCs w:val="false"/>
          <w:color w:val="1A1A2E"/>
          <w:sz w:val="22"/>
          <w:szCs w:val="22"/>
        </w:rPr>
        <w:t xml:space="preserve">Manager PIN sharing: unauthorized use of manager credentials to approve refunds</w:t>
      </w:r>
    </w:p>
    <w:p>
      <w:pPr>
        <w:pStyle w:val="ListParagraph"/>
        <w:numPr>
          <w:ilvl w:val="0"/>
          <w:numId w:val="2"/>
        </w:numPr>
        <w:spacing w:after="80"/>
      </w:pPr>
      <w:r>
        <w:rPr>
          <w:rFonts w:ascii="Arial" w:cs="Arial" w:eastAsia="Arial" w:hAnsi="Arial"/>
          <w:b w:val="false"/>
          <w:bCs w:val="false"/>
          <w:color w:val="1A1A2E"/>
          <w:sz w:val="22"/>
          <w:szCs w:val="22"/>
        </w:rPr>
        <w:t xml:space="preserve">Ghost transactions: creating and immediately refunding fictitious transactions</w:t>
      </w:r>
    </w:p>
    <w:p>
      <w:pPr>
        <w:spacing w:after="120"/>
      </w:pPr>
    </w:p>
    <w:p>
      <w:pPr>
        <w:pStyle w:val="Heading3"/>
        <w:spacing w:after="80" w:before="240"/>
      </w:pPr>
      <w:r>
        <w:rPr>
          <w:rFonts w:ascii="Arial" w:cs="Arial" w:eastAsia="Arial" w:hAnsi="Arial"/>
          <w:b/>
          <w:bCs/>
          <w:color w:val="1B3A6B"/>
          <w:sz w:val="24"/>
          <w:szCs w:val="24"/>
        </w:rPr>
        <w:t xml:space="preserve">3.2.2 External Fraud</w:t>
      </w:r>
    </w:p>
    <w:p>
      <w:pPr>
        <w:pStyle w:val="ListParagraph"/>
        <w:numPr>
          <w:ilvl w:val="0"/>
          <w:numId w:val="2"/>
        </w:numPr>
        <w:spacing w:after="80"/>
      </w:pPr>
      <w:r>
        <w:rPr>
          <w:rFonts w:ascii="Arial" w:cs="Arial" w:eastAsia="Arial" w:hAnsi="Arial"/>
          <w:b w:val="false"/>
          <w:bCs w:val="false"/>
          <w:color w:val="1A1A2E"/>
          <w:sz w:val="22"/>
          <w:szCs w:val="22"/>
        </w:rPr>
        <w:t xml:space="preserve">Coordinated chargeback fraud: organized groups purchasing, consuming, then disputing</w:t>
      </w:r>
    </w:p>
    <w:p>
      <w:pPr>
        <w:pStyle w:val="ListParagraph"/>
        <w:numPr>
          <w:ilvl w:val="0"/>
          <w:numId w:val="2"/>
        </w:numPr>
        <w:spacing w:after="80"/>
      </w:pPr>
      <w:r>
        <w:rPr>
          <w:rFonts w:ascii="Arial" w:cs="Arial" w:eastAsia="Arial" w:hAnsi="Arial"/>
          <w:b w:val="false"/>
          <w:bCs w:val="false"/>
          <w:color w:val="1A1A2E"/>
          <w:sz w:val="22"/>
          <w:szCs w:val="22"/>
        </w:rPr>
        <w:t xml:space="preserve">Social engineering: Customer convinces staff that a refund 'must have been processed' by corporate</w:t>
      </w:r>
    </w:p>
    <w:p>
      <w:pPr>
        <w:pStyle w:val="ListParagraph"/>
        <w:numPr>
          <w:ilvl w:val="0"/>
          <w:numId w:val="2"/>
        </w:numPr>
        <w:spacing w:after="80"/>
      </w:pPr>
      <w:r>
        <w:rPr>
          <w:rFonts w:ascii="Arial" w:cs="Arial" w:eastAsia="Arial" w:hAnsi="Arial"/>
          <w:b w:val="false"/>
          <w:bCs w:val="false"/>
          <w:color w:val="1A1A2E"/>
          <w:sz w:val="22"/>
          <w:szCs w:val="22"/>
        </w:rPr>
        <w:t xml:space="preserve">Stolen payment credentials used for original purchase — legitimate owner disputes after service delivered</w:t>
      </w:r>
    </w:p>
    <w:p>
      <w:pPr>
        <w:spacing w:after="120"/>
      </w:pPr>
    </w:p>
    <w:p>
      <w:pPr>
        <w:pStyle w:val="Heading3"/>
        <w:spacing w:after="80" w:before="240"/>
      </w:pPr>
      <w:r>
        <w:rPr>
          <w:rFonts w:ascii="Arial" w:cs="Arial" w:eastAsia="Arial" w:hAnsi="Arial"/>
          <w:b/>
          <w:bCs/>
          <w:color w:val="1B3A6B"/>
          <w:sz w:val="24"/>
          <w:szCs w:val="24"/>
        </w:rPr>
        <w:t xml:space="preserve">3.2.3 Technical Causes</w:t>
      </w:r>
    </w:p>
    <w:p>
      <w:pPr>
        <w:pStyle w:val="ListParagraph"/>
        <w:numPr>
          <w:ilvl w:val="0"/>
          <w:numId w:val="2"/>
        </w:numPr>
        <w:spacing w:after="80"/>
      </w:pPr>
      <w:r>
        <w:rPr>
          <w:rFonts w:ascii="Arial" w:cs="Arial" w:eastAsia="Arial" w:hAnsi="Arial"/>
          <w:b w:val="false"/>
          <w:bCs w:val="false"/>
          <w:color w:val="1A1A2E"/>
          <w:sz w:val="22"/>
          <w:szCs w:val="22"/>
        </w:rPr>
        <w:t xml:space="preserve">Payment processor (Stripe) webhook duplication causing double-processing</w:t>
      </w:r>
    </w:p>
    <w:p>
      <w:pPr>
        <w:pStyle w:val="ListParagraph"/>
        <w:numPr>
          <w:ilvl w:val="0"/>
          <w:numId w:val="2"/>
        </w:numPr>
        <w:spacing w:after="80"/>
      </w:pPr>
      <w:r>
        <w:rPr>
          <w:rFonts w:ascii="Arial" w:cs="Arial" w:eastAsia="Arial" w:hAnsi="Arial"/>
          <w:b w:val="false"/>
          <w:bCs w:val="false"/>
          <w:color w:val="1A1A2E"/>
          <w:sz w:val="22"/>
          <w:szCs w:val="22"/>
        </w:rPr>
        <w:t xml:space="preserve">Offline queue synchronization errors resulting in duplicate transaction records</w:t>
      </w:r>
    </w:p>
    <w:p>
      <w:pPr>
        <w:pStyle w:val="ListParagraph"/>
        <w:numPr>
          <w:ilvl w:val="0"/>
          <w:numId w:val="2"/>
        </w:numPr>
        <w:spacing w:after="80"/>
      </w:pPr>
      <w:r>
        <w:rPr>
          <w:rFonts w:ascii="Arial" w:cs="Arial" w:eastAsia="Arial" w:hAnsi="Arial"/>
          <w:b w:val="false"/>
          <w:bCs w:val="false"/>
          <w:color w:val="1A1A2E"/>
          <w:sz w:val="22"/>
          <w:szCs w:val="22"/>
        </w:rPr>
        <w:t xml:space="preserve">Frontend state corruption causing unintended refund re-submission</w:t>
      </w:r>
    </w:p>
    <w:p>
      <w:pPr>
        <w:spacing w:after="120"/>
      </w:pPr>
    </w:p>
    <w:p>
      <w:pPr>
        <w:pStyle w:val="Heading2"/>
        <w:spacing w:after="120" w:before="320"/>
      </w:pPr>
      <w:r>
        <w:rPr>
          <w:rFonts w:ascii="Arial" w:cs="Arial" w:eastAsia="Arial" w:hAnsi="Arial"/>
          <w:b/>
          <w:bCs/>
          <w:color w:val="2E75B6"/>
          <w:sz w:val="28"/>
          <w:szCs w:val="28"/>
        </w:rPr>
        <w:t xml:space="preserve">3.3 Containment and Recovery Strategy</w:t>
      </w:r>
    </w:p>
    <w:p>
      <w:pPr>
        <w:pStyle w:val="Heading3"/>
        <w:spacing w:after="80" w:before="240"/>
      </w:pPr>
      <w:r>
        <w:rPr>
          <w:rFonts w:ascii="Arial" w:cs="Arial" w:eastAsia="Arial" w:hAnsi="Arial"/>
          <w:b/>
          <w:bCs/>
          <w:color w:val="1B3A6B"/>
          <w:sz w:val="24"/>
          <w:szCs w:val="24"/>
        </w:rPr>
        <w:t xml:space="preserve">3.3.1 Immediate Response (0-15 minutes)</w:t>
      </w:r>
    </w:p>
    <w:p>
      <w:pPr>
        <w:pStyle w:val="ListParagraph"/>
        <w:numPr>
          <w:ilvl w:val="0"/>
          <w:numId w:val="3"/>
        </w:numPr>
        <w:spacing w:after="80"/>
      </w:pPr>
      <w:r>
        <w:rPr>
          <w:rFonts w:ascii="Arial" w:cs="Arial" w:eastAsia="Arial" w:hAnsi="Arial"/>
          <w:color w:val="1A1A2E"/>
          <w:sz w:val="22"/>
          <w:szCs w:val="22"/>
        </w:rPr>
        <w:t xml:space="preserve">Automatic controls activate per trigger table (Section 3.1) without human intervention required</w:t>
      </w:r>
    </w:p>
    <w:p>
      <w:pPr>
        <w:pStyle w:val="ListParagraph"/>
        <w:numPr>
          <w:ilvl w:val="0"/>
          <w:numId w:val="3"/>
        </w:numPr>
        <w:spacing w:after="80"/>
      </w:pPr>
      <w:r>
        <w:rPr>
          <w:rFonts w:ascii="Arial" w:cs="Arial" w:eastAsia="Arial" w:hAnsi="Arial"/>
          <w:color w:val="1A1A2E"/>
          <w:sz w:val="22"/>
          <w:szCs w:val="22"/>
        </w:rPr>
        <w:t xml:space="preserve">BarPass Operations on-call receives PagerDuty alert with transaction details within 60 seconds</w:t>
      </w:r>
    </w:p>
    <w:p>
      <w:pPr>
        <w:pStyle w:val="ListParagraph"/>
        <w:numPr>
          <w:ilvl w:val="0"/>
          <w:numId w:val="3"/>
        </w:numPr>
        <w:spacing w:after="80"/>
      </w:pPr>
      <w:r>
        <w:rPr>
          <w:rFonts w:ascii="Arial" w:cs="Arial" w:eastAsia="Arial" w:hAnsi="Arial"/>
          <w:color w:val="1A1A2E"/>
          <w:sz w:val="22"/>
          <w:szCs w:val="22"/>
        </w:rPr>
        <w:t xml:space="preserve">Affected Venue Owner receives automated SMS and in-app notification with incident ID</w:t>
      </w:r>
    </w:p>
    <w:p>
      <w:pPr>
        <w:pStyle w:val="ListParagraph"/>
        <w:numPr>
          <w:ilvl w:val="0"/>
          <w:numId w:val="3"/>
        </w:numPr>
        <w:spacing w:after="80"/>
      </w:pPr>
      <w:r>
        <w:rPr>
          <w:rFonts w:ascii="Arial" w:cs="Arial" w:eastAsia="Arial" w:hAnsi="Arial"/>
          <w:color w:val="1A1A2E"/>
          <w:sz w:val="22"/>
          <w:szCs w:val="22"/>
        </w:rPr>
        <w:t xml:space="preserve">All refund transactions since incident start are flagged for manual review in audit system</w:t>
      </w:r>
    </w:p>
    <w:p>
      <w:pPr>
        <w:pStyle w:val="ListParagraph"/>
        <w:numPr>
          <w:ilvl w:val="0"/>
          <w:numId w:val="3"/>
        </w:numPr>
        <w:spacing w:after="80"/>
      </w:pPr>
      <w:r>
        <w:rPr>
          <w:rFonts w:ascii="Arial" w:cs="Arial" w:eastAsia="Arial" w:hAnsi="Arial"/>
          <w:color w:val="1A1A2E"/>
          <w:sz w:val="22"/>
          <w:szCs w:val="22"/>
        </w:rPr>
        <w:t xml:space="preserve">Stripe webhook pause initiated if pattern suggests double-processing</w:t>
      </w:r>
    </w:p>
    <w:p>
      <w:pPr>
        <w:spacing w:after="120"/>
      </w:pPr>
    </w:p>
    <w:p>
      <w:pPr>
        <w:pStyle w:val="Heading3"/>
        <w:spacing w:after="80" w:before="240"/>
      </w:pPr>
      <w:r>
        <w:rPr>
          <w:rFonts w:ascii="Arial" w:cs="Arial" w:eastAsia="Arial" w:hAnsi="Arial"/>
          <w:b/>
          <w:bCs/>
          <w:color w:val="1B3A6B"/>
          <w:sz w:val="24"/>
          <w:szCs w:val="24"/>
        </w:rPr>
        <w:t xml:space="preserve">3.3.2 Investigation Phase (15-60 minutes)</w:t>
      </w:r>
    </w:p>
    <w:p>
      <w:pPr>
        <w:pStyle w:val="ListParagraph"/>
        <w:numPr>
          <w:ilvl w:val="0"/>
          <w:numId w:val="3"/>
        </w:numPr>
        <w:spacing w:after="80"/>
      </w:pPr>
      <w:r>
        <w:rPr>
          <w:rFonts w:ascii="Arial" w:cs="Arial" w:eastAsia="Arial" w:hAnsi="Arial"/>
          <w:color w:val="1A1A2E"/>
          <w:sz w:val="22"/>
          <w:szCs w:val="22"/>
        </w:rPr>
        <w:t xml:space="preserve">Operations reviews full audit log for affected Venue — identifies pattern origin</w:t>
      </w:r>
    </w:p>
    <w:p>
      <w:pPr>
        <w:pStyle w:val="ListParagraph"/>
        <w:numPr>
          <w:ilvl w:val="0"/>
          <w:numId w:val="3"/>
        </w:numPr>
        <w:spacing w:after="80"/>
      </w:pPr>
      <w:r>
        <w:rPr>
          <w:rFonts w:ascii="Arial" w:cs="Arial" w:eastAsia="Arial" w:hAnsi="Arial"/>
          <w:color w:val="1A1A2E"/>
          <w:sz w:val="22"/>
          <w:szCs w:val="22"/>
        </w:rPr>
        <w:t xml:space="preserve">Cross-references employee login timestamps with refund approval timestamps</w:t>
      </w:r>
    </w:p>
    <w:p>
      <w:pPr>
        <w:pStyle w:val="ListParagraph"/>
        <w:numPr>
          <w:ilvl w:val="0"/>
          <w:numId w:val="3"/>
        </w:numPr>
        <w:spacing w:after="80"/>
      </w:pPr>
      <w:r>
        <w:rPr>
          <w:rFonts w:ascii="Arial" w:cs="Arial" w:eastAsia="Arial" w:hAnsi="Arial"/>
          <w:color w:val="1A1A2E"/>
          <w:sz w:val="22"/>
          <w:szCs w:val="22"/>
        </w:rPr>
        <w:t xml:space="preserve">Checks device fingerprint on approving sessions to detect credential sharing</w:t>
      </w:r>
    </w:p>
    <w:p>
      <w:pPr>
        <w:pStyle w:val="ListParagraph"/>
        <w:numPr>
          <w:ilvl w:val="0"/>
          <w:numId w:val="3"/>
        </w:numPr>
        <w:spacing w:after="80"/>
      </w:pPr>
      <w:r>
        <w:rPr>
          <w:rFonts w:ascii="Arial" w:cs="Arial" w:eastAsia="Arial" w:hAnsi="Arial"/>
          <w:color w:val="1A1A2E"/>
          <w:sz w:val="22"/>
          <w:szCs w:val="22"/>
        </w:rPr>
        <w:t xml:space="preserve">Contacts Venue Owner directly for operational context</w:t>
      </w:r>
    </w:p>
    <w:p>
      <w:pPr>
        <w:pStyle w:val="ListParagraph"/>
        <w:numPr>
          <w:ilvl w:val="0"/>
          <w:numId w:val="3"/>
        </w:numPr>
        <w:spacing w:after="80"/>
      </w:pPr>
      <w:r>
        <w:rPr>
          <w:rFonts w:ascii="Arial" w:cs="Arial" w:eastAsia="Arial" w:hAnsi="Arial"/>
          <w:color w:val="1A1A2E"/>
          <w:sz w:val="22"/>
          <w:szCs w:val="22"/>
        </w:rPr>
        <w:t xml:space="preserve">Determines: technical fault vs. internal fraud vs. external fraud</w:t>
      </w:r>
    </w:p>
    <w:p>
      <w:pPr>
        <w:spacing w:after="120"/>
      </w:pPr>
    </w:p>
    <w:p>
      <w:pPr>
        <w:pStyle w:val="Heading3"/>
        <w:spacing w:after="80" w:before="240"/>
      </w:pPr>
      <w:r>
        <w:rPr>
          <w:rFonts w:ascii="Arial" w:cs="Arial" w:eastAsia="Arial" w:hAnsi="Arial"/>
          <w:b/>
          <w:bCs/>
          <w:color w:val="1B3A6B"/>
          <w:sz w:val="24"/>
          <w:szCs w:val="24"/>
        </w:rPr>
        <w:t xml:space="preserve">3.3.3 Resolution and Recovery</w:t>
      </w:r>
    </w:p>
    <w:p>
      <w:pPr>
        <w:pStyle w:val="ListParagraph"/>
        <w:numPr>
          <w:ilvl w:val="0"/>
          <w:numId w:val="3"/>
        </w:numPr>
        <w:spacing w:after="80"/>
      </w:pPr>
      <w:r>
        <w:rPr>
          <w:rFonts w:ascii="Arial" w:cs="Arial" w:eastAsia="Arial" w:hAnsi="Arial"/>
          <w:color w:val="1A1A2E"/>
          <w:sz w:val="22"/>
          <w:szCs w:val="22"/>
        </w:rPr>
        <w:t xml:space="preserve">If technical fault: Stripe fraud team engaged, affected transactions documented, Venue compensated per SLA</w:t>
      </w:r>
    </w:p>
    <w:p>
      <w:pPr>
        <w:pStyle w:val="ListParagraph"/>
        <w:numPr>
          <w:ilvl w:val="0"/>
          <w:numId w:val="3"/>
        </w:numPr>
        <w:spacing w:after="80"/>
      </w:pPr>
      <w:r>
        <w:rPr>
          <w:rFonts w:ascii="Arial" w:cs="Arial" w:eastAsia="Arial" w:hAnsi="Arial"/>
          <w:color w:val="1A1A2E"/>
          <w:sz w:val="22"/>
          <w:szCs w:val="22"/>
        </w:rPr>
        <w:t xml:space="preserve">If internal fraud confirmed: Venue notified, evidence package prepared, law enforcement referral recommended</w:t>
      </w:r>
    </w:p>
    <w:p>
      <w:pPr>
        <w:pStyle w:val="ListParagraph"/>
        <w:numPr>
          <w:ilvl w:val="0"/>
          <w:numId w:val="3"/>
        </w:numPr>
        <w:spacing w:after="80"/>
      </w:pPr>
      <w:r>
        <w:rPr>
          <w:rFonts w:ascii="Arial" w:cs="Arial" w:eastAsia="Arial" w:hAnsi="Arial"/>
          <w:color w:val="1A1A2E"/>
          <w:sz w:val="22"/>
          <w:szCs w:val="22"/>
        </w:rPr>
        <w:t xml:space="preserve">Refund capabilities re-enabled only after: (a) incident root cause confirmed; (b) affected employee suspended pending investigation; (c) Manager-level sign-off in system</w:t>
      </w:r>
    </w:p>
    <w:p>
      <w:pPr>
        <w:pStyle w:val="ListParagraph"/>
        <w:numPr>
          <w:ilvl w:val="0"/>
          <w:numId w:val="3"/>
        </w:numPr>
        <w:spacing w:after="80"/>
      </w:pPr>
      <w:r>
        <w:rPr>
          <w:rFonts w:ascii="Arial" w:cs="Arial" w:eastAsia="Arial" w:hAnsi="Arial"/>
          <w:color w:val="1A1A2E"/>
          <w:sz w:val="22"/>
          <w:szCs w:val="22"/>
        </w:rPr>
        <w:t xml:space="preserve">Post-incident report delivered to Venue Owner within 48 hours</w:t>
      </w:r>
    </w:p>
    <w:p>
      <w:pPr>
        <w:pStyle w:val="ListParagraph"/>
        <w:numPr>
          <w:ilvl w:val="0"/>
          <w:numId w:val="3"/>
        </w:numPr>
        <w:spacing w:after="80"/>
      </w:pPr>
      <w:r>
        <w:rPr>
          <w:rFonts w:ascii="Arial" w:cs="Arial" w:eastAsia="Arial" w:hAnsi="Arial"/>
          <w:color w:val="1A1A2E"/>
          <w:sz w:val="22"/>
          <w:szCs w:val="22"/>
        </w:rPr>
        <w:t xml:space="preserve">System controls updated if new fraud pattern identified</w:t>
      </w:r>
    </w:p>
    <w:p>
      <w:pPr>
        <w:spacing w:after="120"/>
      </w:pPr>
    </w:p>
    <w:tbl>
      <w:tblPr>
        <w:tblW w:type="dxa" w:w="9360"/>
        <w:tblBorders>
          <w:top w:val="single" w:color="D35400" w:sz="4"/>
          <w:left w:val="single" w:color="D35400" w:sz="4"/>
          <w:bottom w:val="single" w:color="D35400" w:sz="4"/>
          <w:right w:val="single" w:color="D35400" w:sz="4"/>
          <w:insideH w:val="single" w:color="auto" w:sz="4"/>
          <w:insideV w:val="single" w:color="auto" w:sz="4"/>
        </w:tblBorders>
      </w:tblPr>
      <w:tblGrid>
        <w:gridCol w:w="9360"/>
      </w:tblGrid>
      <w:tr>
        <w:tc>
          <w:tcPr>
            <w:tcW w:type="dxa" w:w="9360"/>
            <w:tcBorders>
              <w:top w:val="none"/>
              <w:left w:val="single" w:color="D35400" w:sz="16"/>
              <w:bottom w:val="none"/>
              <w:right w:val="none"/>
            </w:tcBorders>
            <w:shd w:fill="FEF9E7" w:val="clear"/>
            <w:tcMar>
              <w:top w:type="dxa" w:w="100"/>
              <w:left w:type="dxa" w:w="160"/>
              <w:bottom w:type="dxa" w:w="100"/>
              <w:right w:type="dxa" w:w="160"/>
            </w:tcMar>
          </w:tcPr>
          <w:p>
            <w:pPr>
              <w:spacing w:after="0"/>
            </w:pPr>
            <w:r>
              <w:rPr>
                <w:rFonts w:ascii="Arial" w:cs="Arial" w:eastAsia="Arial" w:hAnsi="Arial"/>
                <w:b/>
                <w:bCs/>
                <w:color w:val="D35400"/>
                <w:sz w:val="22"/>
                <w:szCs w:val="22"/>
              </w:rPr>
              <w:t xml:space="preserve">⚠  </w:t>
            </w:r>
            <w:r>
              <w:rPr>
                <w:rFonts w:ascii="Arial" w:cs="Arial" w:eastAsia="Arial" w:hAnsi="Arial"/>
                <w:color w:val="1A1A2E"/>
                <w:sz w:val="22"/>
                <w:szCs w:val="22"/>
              </w:rPr>
              <w:t xml:space="preserve">LEGAL EXPOSURE: In internal fraud scenarios, BarPass's liability is limited to providing evidence and investigation support. Financial recovery from fraudulent employees is the Venue Operator's responsibility. BarPass recommends Venue Operators maintain Employee Dishonesty insurance coverage, minimum $100,000.</w:t>
            </w:r>
          </w:p>
        </w:tc>
      </w:tr>
    </w:tbl>
    <w:p>
      <w:r>
        <w:br w:type="page"/>
      </w:r>
    </w:p>
    <w:p>
      <w:pPr>
        <w:spacing w:after="80" w:before="320"/>
      </w:pPr>
      <w:r>
        <w:rPr>
          <w:rFonts w:ascii="Arial" w:cs="Arial" w:eastAsia="Arial" w:hAnsi="Arial"/>
          <w:b/>
          <w:bCs/>
          <w:color w:val="FFFFFF"/>
          <w:sz w:val="18"/>
          <w:szCs w:val="18"/>
          <w:shd w:fill="1E8449" w:val="clear"/>
        </w:rPr>
        <w:t xml:space="preserve">  SECTION 4 — PCI COMPLIANCE  </w:t>
      </w:r>
    </w:p>
    <w:p>
      <w:pPr>
        <w:pStyle w:val="Heading1"/>
        <w:spacing w:after="160" w:before="400"/>
      </w:pPr>
      <w:r>
        <w:rPr>
          <w:rFonts w:ascii="Arial" w:cs="Arial" w:eastAsia="Arial" w:hAnsi="Arial"/>
          <w:b/>
          <w:bCs/>
          <w:color w:val="1B3A6B"/>
          <w:sz w:val="36"/>
          <w:szCs w:val="36"/>
        </w:rPr>
        <w:t xml:space="preserve">4. PCI DSS Compliance Strategy</w:t>
      </w:r>
    </w:p>
    <w:p>
      <w:pPr>
        <w:pBdr>
          <w:bottom w:val="single" w:color="1E8449" w:sz="8" w:space="1"/>
        </w:pBdr>
        <w:spacing w:after="160"/>
      </w:pPr>
    </w:p>
    <w:tbl>
      <w:tblPr>
        <w:tblW w:type="dxa" w:w="9360"/>
        <w:tblBorders>
          <w:top w:val="single" w:color="C0392B" w:sz="4"/>
          <w:left w:val="single" w:color="C0392B" w:sz="4"/>
          <w:bottom w:val="single" w:color="C0392B" w:sz="4"/>
          <w:right w:val="single" w:color="C0392B" w:sz="4"/>
          <w:insideH w:val="single" w:color="auto" w:sz="4"/>
          <w:insideV w:val="single" w:color="auto" w:sz="4"/>
        </w:tblBorders>
      </w:tblPr>
      <w:tblGrid>
        <w:gridCol w:w="9360"/>
      </w:tblGrid>
      <w:tr>
        <w:tc>
          <w:tcPr>
            <w:tcW w:type="dxa" w:w="9360"/>
            <w:tcBorders>
              <w:top w:val="none"/>
              <w:left w:val="single" w:color="C0392B" w:sz="16"/>
              <w:bottom w:val="none"/>
              <w:right w:val="none"/>
            </w:tcBorders>
            <w:shd w:fill="FDEDEC" w:val="clear"/>
            <w:tcMar>
              <w:top w:type="dxa" w:w="100"/>
              <w:left w:type="dxa" w:w="160"/>
              <w:bottom w:type="dxa" w:w="100"/>
              <w:right w:type="dxa" w:w="160"/>
            </w:tcMar>
          </w:tcPr>
          <w:p>
            <w:pPr>
              <w:spacing w:after="0"/>
            </w:pPr>
            <w:r>
              <w:rPr>
                <w:rFonts w:ascii="Arial" w:cs="Arial" w:eastAsia="Arial" w:hAnsi="Arial"/>
                <w:b/>
                <w:bCs/>
                <w:color w:val="C0392B"/>
                <w:sz w:val="22"/>
                <w:szCs w:val="22"/>
              </w:rPr>
              <w:t xml:space="preserve">🔴  </w:t>
            </w:r>
            <w:r>
              <w:rPr>
                <w:rFonts w:ascii="Arial" w:cs="Arial" w:eastAsia="Arial" w:hAnsi="Arial"/>
                <w:color w:val="1A1A2E"/>
                <w:sz w:val="22"/>
                <w:szCs w:val="22"/>
              </w:rPr>
              <w:t xml:space="preserve">PCI DSS v4.0 (effective March 2024) compliance is NON-NEGOTIABLE for any system that touches cardholder data. BarPass's architecture is deliberately designed to achieve the lowest possible compliance scope through full delegation to Stripe.</w:t>
            </w:r>
          </w:p>
        </w:tc>
      </w:tr>
    </w:tbl>
    <w:p>
      <w:pPr>
        <w:spacing w:after="120"/>
      </w:pPr>
    </w:p>
    <w:p>
      <w:pPr>
        <w:pStyle w:val="Heading2"/>
        <w:spacing w:after="120" w:before="320"/>
      </w:pPr>
      <w:r>
        <w:rPr>
          <w:rFonts w:ascii="Arial" w:cs="Arial" w:eastAsia="Arial" w:hAnsi="Arial"/>
          <w:b/>
          <w:bCs/>
          <w:color w:val="2E75B6"/>
          <w:sz w:val="28"/>
          <w:szCs w:val="28"/>
        </w:rPr>
        <w:t xml:space="preserve">4.1 BarPass Compliance Architecture</w:t>
      </w:r>
    </w:p>
    <w:p>
      <w:pPr>
        <w:pStyle w:val="Heading3"/>
        <w:spacing w:after="80" w:before="240"/>
      </w:pPr>
      <w:r>
        <w:rPr>
          <w:rFonts w:ascii="Arial" w:cs="Arial" w:eastAsia="Arial" w:hAnsi="Arial"/>
          <w:b/>
          <w:bCs/>
          <w:color w:val="1B3A6B"/>
          <w:sz w:val="24"/>
          <w:szCs w:val="24"/>
        </w:rPr>
        <w:t xml:space="preserve">4.1.1 The Delegation Principle</w:t>
      </w:r>
    </w:p>
    <w:p>
      <w:pPr>
        <w:spacing w:after="120" w:before="0"/>
        <w:jc w:val="left"/>
      </w:pPr>
      <w:r>
        <w:rPr>
          <w:rFonts w:ascii="Arial" w:cs="Arial" w:eastAsia="Arial" w:hAnsi="Arial"/>
          <w:b w:val="false"/>
          <w:bCs w:val="false"/>
          <w:i w:val="false"/>
          <w:iCs w:val="false"/>
          <w:color w:val="1A1A2E"/>
          <w:sz w:val="22"/>
          <w:szCs w:val="22"/>
        </w:rPr>
        <w:t xml:space="preserve">BarPass Technologies, Inc. achieves minimal PCI scope by ensuring the platform NEVER processes, stores, or transmits Primary Account Numbers (PAN), CVV/CVC codes, magnetic stripe data, or PIN data. All cardholder data handling is delegated exclusively to Stripe, Inc., a PCI DSS Level 1 Service Provider (the highest certification level).</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This architecture means BarPass qualifies for SAQ P2PE (Self-Assessment Questionnaire for Point-to-Point Encryption) — the most restrictive and therefore most legally protective designation available to merchants using certified P2PE solutions.</w:t>
      </w:r>
    </w:p>
    <w:p>
      <w:pPr>
        <w:spacing w:after="120"/>
      </w:pPr>
    </w:p>
    <w:p>
      <w:pPr>
        <w:pStyle w:val="Heading3"/>
        <w:spacing w:after="80" w:before="240"/>
      </w:pPr>
      <w:r>
        <w:rPr>
          <w:rFonts w:ascii="Arial" w:cs="Arial" w:eastAsia="Arial" w:hAnsi="Arial"/>
          <w:b/>
          <w:bCs/>
          <w:color w:val="1B3A6B"/>
          <w:sz w:val="24"/>
          <w:szCs w:val="24"/>
        </w:rPr>
        <w:t xml:space="preserve">4.1.2 How the Architecture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w:t>
            </w:r>
          </w:p>
        </w:tc>
        <w:tc>
          <w:tcPr>
            <w:tcW w:type="dxa" w:w="28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Where It Happens</w:t>
            </w:r>
          </w:p>
        </w:tc>
        <w:tc>
          <w:tcPr>
            <w:tcW w:type="dxa" w:w="32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BarPass Involvement</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Customer inserts/taps payment card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Stripe Terminal hardware (PCI-certified)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NONE — hardware is Stripe's scope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Card data encrypted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Within Stripe Terminal at point of swipe (P2PE)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NONE — encryption happens before data leaves terminal</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Encrypted data transmitted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Via Stripe's PCI-certified network to Stripe servers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NONE — BarPass only receives a payment_intent_id token</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Transaction authorized/declined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Stripe network, card networks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NONE — BarPass receives success/failure status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BarPass stores</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Transaction ID (token), amount, timestamp, item list, employee ID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but this is NOT cardholder data under PCI definition</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Refund processed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sends refund instruction to Stripe API using stored payment_intent_id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transmits instruction only — no raw card data involved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Chargeback dispute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Stripe provides transaction evidence to card network on behalf of Venue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provides context data from audit log</w:t>
            </w:r>
          </w:p>
        </w:tc>
      </w:tr>
    </w:tbl>
    <w:p>
      <w:pPr>
        <w:spacing w:after="120"/>
      </w:pPr>
    </w:p>
    <w:p>
      <w:pPr>
        <w:pStyle w:val="Heading2"/>
        <w:spacing w:after="120" w:before="320"/>
      </w:pPr>
      <w:r>
        <w:rPr>
          <w:rFonts w:ascii="Arial" w:cs="Arial" w:eastAsia="Arial" w:hAnsi="Arial"/>
          <w:b/>
          <w:bCs/>
          <w:color w:val="2E75B6"/>
          <w:sz w:val="28"/>
          <w:szCs w:val="28"/>
        </w:rPr>
        <w:t xml:space="preserve">4.2 Applicable PCI SAQ Level</w:t>
      </w:r>
    </w:p>
    <w:p>
      <w:pPr>
        <w:pStyle w:val="Heading3"/>
        <w:spacing w:after="80" w:before="240"/>
      </w:pPr>
      <w:r>
        <w:rPr>
          <w:rFonts w:ascii="Arial" w:cs="Arial" w:eastAsia="Arial" w:hAnsi="Arial"/>
          <w:b/>
          <w:bCs/>
          <w:color w:val="1B3A6B"/>
          <w:sz w:val="24"/>
          <w:szCs w:val="24"/>
        </w:rPr>
        <w:t xml:space="preserve">4.2.1 SAQ P2PE — Primary Qualification</w:t>
      </w:r>
    </w:p>
    <w:p>
      <w:pPr>
        <w:spacing w:after="120" w:before="0"/>
        <w:jc w:val="left"/>
      </w:pPr>
      <w:r>
        <w:rPr>
          <w:rFonts w:ascii="Arial" w:cs="Arial" w:eastAsia="Arial" w:hAnsi="Arial"/>
          <w:b w:val="false"/>
          <w:bCs w:val="false"/>
          <w:i w:val="false"/>
          <w:iCs w:val="false"/>
          <w:color w:val="1A1A2E"/>
          <w:sz w:val="22"/>
          <w:szCs w:val="22"/>
        </w:rPr>
        <w:t xml:space="preserve">BarPass qualifies for SAQ P2PE by meeting all qualification criteria:</w:t>
      </w:r>
    </w:p>
    <w:p>
      <w:pPr>
        <w:pStyle w:val="ListParagraph"/>
        <w:numPr>
          <w:ilvl w:val="0"/>
          <w:numId w:val="2"/>
        </w:numPr>
        <w:spacing w:after="80"/>
      </w:pPr>
      <w:r>
        <w:rPr>
          <w:rFonts w:ascii="Arial" w:cs="Arial" w:eastAsia="Arial" w:hAnsi="Arial"/>
          <w:b w:val="false"/>
          <w:bCs w:val="false"/>
          <w:color w:val="1A1A2E"/>
          <w:sz w:val="22"/>
          <w:szCs w:val="22"/>
        </w:rPr>
        <w:t xml:space="preserve">Payment processing exclusively through Stripe Terminal using a listed P2PE solution</w:t>
      </w:r>
    </w:p>
    <w:p>
      <w:pPr>
        <w:pStyle w:val="ListParagraph"/>
        <w:numPr>
          <w:ilvl w:val="0"/>
          <w:numId w:val="2"/>
        </w:numPr>
        <w:spacing w:after="80"/>
      </w:pPr>
      <w:r>
        <w:rPr>
          <w:rFonts w:ascii="Arial" w:cs="Arial" w:eastAsia="Arial" w:hAnsi="Arial"/>
          <w:b w:val="false"/>
          <w:bCs w:val="false"/>
          <w:color w:val="1A1A2E"/>
          <w:sz w:val="22"/>
          <w:szCs w:val="22"/>
        </w:rPr>
        <w:t xml:space="preserve">No electronic cardholder data storage on BarPass systems or hardware</w:t>
      </w:r>
    </w:p>
    <w:p>
      <w:pPr>
        <w:pStyle w:val="ListParagraph"/>
        <w:numPr>
          <w:ilvl w:val="0"/>
          <w:numId w:val="2"/>
        </w:numPr>
        <w:spacing w:after="80"/>
      </w:pPr>
      <w:r>
        <w:rPr>
          <w:rFonts w:ascii="Arial" w:cs="Arial" w:eastAsia="Arial" w:hAnsi="Arial"/>
          <w:b w:val="false"/>
          <w:bCs w:val="false"/>
          <w:color w:val="1A1A2E"/>
          <w:sz w:val="22"/>
          <w:szCs w:val="22"/>
        </w:rPr>
        <w:t xml:space="preserve">No ability to access cardholder data at the BarPass application layer</w:t>
      </w:r>
    </w:p>
    <w:p>
      <w:pPr>
        <w:pStyle w:val="ListParagraph"/>
        <w:numPr>
          <w:ilvl w:val="0"/>
          <w:numId w:val="2"/>
        </w:numPr>
        <w:spacing w:after="80"/>
      </w:pPr>
      <w:r>
        <w:rPr>
          <w:rFonts w:ascii="Arial" w:cs="Arial" w:eastAsia="Arial" w:hAnsi="Arial"/>
          <w:b w:val="false"/>
          <w:bCs w:val="false"/>
          <w:color w:val="1A1A2E"/>
          <w:sz w:val="22"/>
          <w:szCs w:val="22"/>
        </w:rPr>
        <w:t xml:space="preserve">Stripe Terminal hardware sourced directly from Stripe — not modified or tampered</w:t>
      </w:r>
    </w:p>
    <w:p>
      <w:pPr>
        <w:spacing w:after="120"/>
      </w:pPr>
    </w:p>
    <w:p>
      <w:pPr>
        <w:spacing w:after="120" w:before="0"/>
        <w:jc w:val="left"/>
      </w:pPr>
      <w:r>
        <w:rPr>
          <w:rFonts w:ascii="Arial" w:cs="Arial" w:eastAsia="Arial" w:hAnsi="Arial"/>
          <w:b w:val="false"/>
          <w:bCs w:val="false"/>
          <w:i w:val="false"/>
          <w:iCs w:val="false"/>
          <w:color w:val="1A1A2E"/>
          <w:sz w:val="22"/>
          <w:szCs w:val="22"/>
        </w:rPr>
        <w:t xml:space="preserve">SAQ P2PE contains only 35 requirements vs. SAQ D's 329 requirements — an 89% reduction in compliance burden. This directly reduces: annual audit costs, legal exposure, and engineering effort.</w:t>
      </w:r>
    </w:p>
    <w:p>
      <w:pPr>
        <w:spacing w:after="120"/>
      </w:pPr>
    </w:p>
    <w:p>
      <w:pPr>
        <w:pStyle w:val="Heading3"/>
        <w:spacing w:after="80" w:before="240"/>
      </w:pPr>
      <w:r>
        <w:rPr>
          <w:rFonts w:ascii="Arial" w:cs="Arial" w:eastAsia="Arial" w:hAnsi="Arial"/>
          <w:b/>
          <w:bCs/>
          <w:color w:val="1B3A6B"/>
          <w:sz w:val="24"/>
          <w:szCs w:val="24"/>
        </w:rPr>
        <w:t xml:space="preserve">4.2.2 SAQ A — Secondary Qualification for Venue Operators</w:t>
      </w:r>
    </w:p>
    <w:p>
      <w:pPr>
        <w:spacing w:after="120" w:before="0"/>
        <w:jc w:val="left"/>
      </w:pPr>
      <w:r>
        <w:rPr>
          <w:rFonts w:ascii="Arial" w:cs="Arial" w:eastAsia="Arial" w:hAnsi="Arial"/>
          <w:b w:val="false"/>
          <w:bCs w:val="false"/>
          <w:i w:val="false"/>
          <w:iCs w:val="false"/>
          <w:color w:val="1A1A2E"/>
          <w:sz w:val="22"/>
          <w:szCs w:val="22"/>
        </w:rPr>
        <w:t xml:space="preserve">Venue Operators who use BarPass for payment processing without any other card-present system qualify for SAQ A, requiring compliance with only 22 requirements related to their website and third-party processors.</w:t>
      </w:r>
    </w:p>
    <w:p>
      <w:pPr>
        <w:spacing w:after="120"/>
      </w:pPr>
    </w:p>
    <w:p>
      <w:pPr>
        <w:pStyle w:val="Heading2"/>
        <w:spacing w:after="120" w:before="320"/>
      </w:pPr>
      <w:r>
        <w:rPr>
          <w:rFonts w:ascii="Arial" w:cs="Arial" w:eastAsia="Arial" w:hAnsi="Arial"/>
          <w:b/>
          <w:bCs/>
          <w:color w:val="2E75B6"/>
          <w:sz w:val="28"/>
          <w:szCs w:val="28"/>
        </w:rPr>
        <w:t xml:space="preserve">4.3 BarPass Retained PCI Responsibilities</w:t>
      </w:r>
    </w:p>
    <w:p>
      <w:pPr>
        <w:spacing w:after="120" w:before="0"/>
        <w:jc w:val="left"/>
      </w:pPr>
      <w:r>
        <w:rPr>
          <w:rFonts w:ascii="Arial" w:cs="Arial" w:eastAsia="Arial" w:hAnsi="Arial"/>
          <w:b w:val="false"/>
          <w:bCs w:val="false"/>
          <w:i w:val="false"/>
          <w:iCs w:val="false"/>
          <w:color w:val="1A1A2E"/>
          <w:sz w:val="22"/>
          <w:szCs w:val="22"/>
        </w:rPr>
        <w:t xml:space="preserve">Despite delegating card handling, BarPass retains the following PCI obligations:</w:t>
      </w:r>
    </w:p>
    <w:p>
      <w:pPr>
        <w:pStyle w:val="ListParagraph"/>
        <w:numPr>
          <w:ilvl w:val="0"/>
          <w:numId w:val="2"/>
        </w:numPr>
        <w:spacing w:after="80"/>
      </w:pPr>
      <w:r>
        <w:rPr>
          <w:rFonts w:ascii="Arial" w:cs="Arial" w:eastAsia="Arial" w:hAnsi="Arial"/>
          <w:b w:val="false"/>
          <w:bCs w:val="false"/>
          <w:color w:val="1A1A2E"/>
          <w:sz w:val="22"/>
          <w:szCs w:val="22"/>
        </w:rPr>
        <w:t xml:space="preserve">Maintain a signed PCI DSS Service Level Agreement (SLA) with Stripe, Inc.</w:t>
      </w:r>
    </w:p>
    <w:p>
      <w:pPr>
        <w:pStyle w:val="ListParagraph"/>
        <w:numPr>
          <w:ilvl w:val="0"/>
          <w:numId w:val="2"/>
        </w:numPr>
        <w:spacing w:after="80"/>
      </w:pPr>
      <w:r>
        <w:rPr>
          <w:rFonts w:ascii="Arial" w:cs="Arial" w:eastAsia="Arial" w:hAnsi="Arial"/>
          <w:b w:val="false"/>
          <w:bCs w:val="false"/>
          <w:color w:val="1A1A2E"/>
          <w:sz w:val="22"/>
          <w:szCs w:val="22"/>
        </w:rPr>
        <w:t xml:space="preserve">Ensure all BarPass systems that connect to Stripe API use TLS 1.2+ exclusively</w:t>
      </w:r>
    </w:p>
    <w:p>
      <w:pPr>
        <w:pStyle w:val="ListParagraph"/>
        <w:numPr>
          <w:ilvl w:val="0"/>
          <w:numId w:val="2"/>
        </w:numPr>
        <w:spacing w:after="80"/>
      </w:pPr>
      <w:r>
        <w:rPr>
          <w:rFonts w:ascii="Arial" w:cs="Arial" w:eastAsia="Arial" w:hAnsi="Arial"/>
          <w:b w:val="false"/>
          <w:bCs w:val="false"/>
          <w:color w:val="1A1A2E"/>
          <w:sz w:val="22"/>
          <w:szCs w:val="22"/>
        </w:rPr>
        <w:t xml:space="preserve">Protect the Stripe API keys as restricted credentials — stored in environment variables, never in source code</w:t>
      </w:r>
    </w:p>
    <w:p>
      <w:pPr>
        <w:pStyle w:val="ListParagraph"/>
        <w:numPr>
          <w:ilvl w:val="0"/>
          <w:numId w:val="2"/>
        </w:numPr>
        <w:spacing w:after="80"/>
      </w:pPr>
      <w:r>
        <w:rPr>
          <w:rFonts w:ascii="Arial" w:cs="Arial" w:eastAsia="Arial" w:hAnsi="Arial"/>
          <w:b w:val="false"/>
          <w:bCs w:val="false"/>
          <w:color w:val="1A1A2E"/>
          <w:sz w:val="22"/>
          <w:szCs w:val="22"/>
        </w:rPr>
        <w:t xml:space="preserve">Conduct annual penetration testing of BarPass network and application layers</w:t>
      </w:r>
    </w:p>
    <w:p>
      <w:pPr>
        <w:pStyle w:val="ListParagraph"/>
        <w:numPr>
          <w:ilvl w:val="0"/>
          <w:numId w:val="2"/>
        </w:numPr>
        <w:spacing w:after="80"/>
      </w:pPr>
      <w:r>
        <w:rPr>
          <w:rFonts w:ascii="Arial" w:cs="Arial" w:eastAsia="Arial" w:hAnsi="Arial"/>
          <w:b w:val="false"/>
          <w:bCs w:val="false"/>
          <w:color w:val="1A1A2E"/>
          <w:sz w:val="22"/>
          <w:szCs w:val="22"/>
        </w:rPr>
        <w:t xml:space="preserve">Implement and maintain a Vulnerability Management Program for all BarPass servers</w:t>
      </w:r>
    </w:p>
    <w:p>
      <w:pPr>
        <w:pStyle w:val="ListParagraph"/>
        <w:numPr>
          <w:ilvl w:val="0"/>
          <w:numId w:val="2"/>
        </w:numPr>
        <w:spacing w:after="80"/>
      </w:pPr>
      <w:r>
        <w:rPr>
          <w:rFonts w:ascii="Arial" w:cs="Arial" w:eastAsia="Arial" w:hAnsi="Arial"/>
          <w:b w:val="false"/>
          <w:bCs w:val="false"/>
          <w:color w:val="1A1A2E"/>
          <w:sz w:val="22"/>
          <w:szCs w:val="22"/>
        </w:rPr>
        <w:t xml:space="preserve">Train all engineering staff on PCI DSS requirements annually</w:t>
      </w:r>
    </w:p>
    <w:p>
      <w:pPr>
        <w:pStyle w:val="ListParagraph"/>
        <w:numPr>
          <w:ilvl w:val="0"/>
          <w:numId w:val="2"/>
        </w:numPr>
        <w:spacing w:after="80"/>
      </w:pPr>
      <w:r>
        <w:rPr>
          <w:rFonts w:ascii="Arial" w:cs="Arial" w:eastAsia="Arial" w:hAnsi="Arial"/>
          <w:b w:val="false"/>
          <w:bCs w:val="false"/>
          <w:color w:val="1A1A2E"/>
          <w:sz w:val="22"/>
          <w:szCs w:val="22"/>
        </w:rPr>
        <w:t xml:space="preserve">Maintain an incident response plan specific to potential card data exposure scenarios</w:t>
      </w:r>
    </w:p>
    <w:p>
      <w:pPr>
        <w:spacing w:after="120"/>
      </w:pPr>
    </w:p>
    <w:p>
      <w:pPr>
        <w:pStyle w:val="Heading2"/>
        <w:spacing w:after="120" w:before="320"/>
      </w:pPr>
      <w:r>
        <w:rPr>
          <w:rFonts w:ascii="Arial" w:cs="Arial" w:eastAsia="Arial" w:hAnsi="Arial"/>
          <w:b/>
          <w:bCs/>
          <w:color w:val="2E75B6"/>
          <w:sz w:val="28"/>
          <w:szCs w:val="28"/>
        </w:rPr>
        <w:t xml:space="preserve">4.4 Legal Risk Reduction — Why This Matters</w:t>
      </w:r>
    </w:p>
    <w:p>
      <w:pPr>
        <w:spacing w:after="120" w:before="0"/>
        <w:jc w:val="left"/>
      </w:pPr>
      <w:r>
        <w:rPr>
          <w:rFonts w:ascii="Arial" w:cs="Arial" w:eastAsia="Arial" w:hAnsi="Arial"/>
          <w:b w:val="false"/>
          <w:bCs w:val="false"/>
          <w:i w:val="false"/>
          <w:iCs w:val="false"/>
          <w:color w:val="1A1A2E"/>
          <w:sz w:val="22"/>
          <w:szCs w:val="22"/>
        </w:rPr>
        <w:t xml:space="preserve">By maintaining SAQ P2PE status, BarPass achieves:</w:t>
      </w:r>
    </w:p>
    <w:p>
      <w:pPr>
        <w:pStyle w:val="ListParagraph"/>
        <w:numPr>
          <w:ilvl w:val="0"/>
          <w:numId w:val="2"/>
        </w:numPr>
        <w:spacing w:after="80"/>
      </w:pPr>
      <w:r>
        <w:rPr>
          <w:rFonts w:ascii="Arial" w:cs="Arial" w:eastAsia="Arial" w:hAnsi="Arial"/>
          <w:b w:val="false"/>
          <w:bCs w:val="false"/>
          <w:color w:val="1A1A2E"/>
          <w:sz w:val="22"/>
          <w:szCs w:val="22"/>
        </w:rPr>
        <w:t xml:space="preserve">LIMITED LIABILITY in the event of a payment card breach — BarPass has no card data to breach at the application layer</w:t>
      </w:r>
    </w:p>
    <w:p>
      <w:pPr>
        <w:pStyle w:val="ListParagraph"/>
        <w:numPr>
          <w:ilvl w:val="0"/>
          <w:numId w:val="2"/>
        </w:numPr>
        <w:spacing w:after="80"/>
      </w:pPr>
      <w:r>
        <w:rPr>
          <w:rFonts w:ascii="Arial" w:cs="Arial" w:eastAsia="Arial" w:hAnsi="Arial"/>
          <w:b w:val="false"/>
          <w:bCs w:val="false"/>
          <w:color w:val="1A1A2E"/>
          <w:sz w:val="22"/>
          <w:szCs w:val="22"/>
        </w:rPr>
        <w:t xml:space="preserve">REDUCED FORENSIC SCOPE — PCI forensic investigators (PFIs) scope is limited to Stripe's infrastructure, not BarPass's</w:t>
      </w:r>
    </w:p>
    <w:p>
      <w:pPr>
        <w:pStyle w:val="ListParagraph"/>
        <w:numPr>
          <w:ilvl w:val="0"/>
          <w:numId w:val="2"/>
        </w:numPr>
        <w:spacing w:after="80"/>
      </w:pPr>
      <w:r>
        <w:rPr>
          <w:rFonts w:ascii="Arial" w:cs="Arial" w:eastAsia="Arial" w:hAnsi="Arial"/>
          <w:b w:val="false"/>
          <w:bCs w:val="false"/>
          <w:color w:val="1A1A2E"/>
          <w:sz w:val="22"/>
          <w:szCs w:val="22"/>
        </w:rPr>
        <w:t xml:space="preserve">LOWER INSURANCE PREMIUMS — Cyber liability insurers apply lower rates to SAQ P2PE entities</w:t>
      </w:r>
    </w:p>
    <w:p>
      <w:pPr>
        <w:pStyle w:val="ListParagraph"/>
        <w:numPr>
          <w:ilvl w:val="0"/>
          <w:numId w:val="2"/>
        </w:numPr>
        <w:spacing w:after="80"/>
      </w:pPr>
      <w:r>
        <w:rPr>
          <w:rFonts w:ascii="Arial" w:cs="Arial" w:eastAsia="Arial" w:hAnsi="Arial"/>
          <w:b w:val="false"/>
          <w:bCs w:val="false"/>
          <w:color w:val="1A1A2E"/>
          <w:sz w:val="22"/>
          <w:szCs w:val="22"/>
        </w:rPr>
        <w:t xml:space="preserve">SIMPLIFIED VENUE OPERATOR AGREEMENTS — Venues inherit BarPass's compliance posture, reducing their own PCI burden</w:t>
      </w:r>
    </w:p>
    <w:p>
      <w:pPr>
        <w:spacing w:after="120"/>
      </w:pPr>
    </w:p>
    <w:tbl>
      <w:tblPr>
        <w:tblW w:type="dxa" w:w="9360"/>
        <w:tblBorders>
          <w:top w:val="single" w:color="C0392B" w:sz="4"/>
          <w:left w:val="single" w:color="C0392B" w:sz="4"/>
          <w:bottom w:val="single" w:color="C0392B" w:sz="4"/>
          <w:right w:val="single" w:color="C0392B" w:sz="4"/>
          <w:insideH w:val="single" w:color="auto" w:sz="4"/>
          <w:insideV w:val="single" w:color="auto" w:sz="4"/>
        </w:tblBorders>
      </w:tblPr>
      <w:tblGrid>
        <w:gridCol w:w="9360"/>
      </w:tblGrid>
      <w:tr>
        <w:tc>
          <w:tcPr>
            <w:tcW w:type="dxa" w:w="9360"/>
            <w:tcBorders>
              <w:top w:val="none"/>
              <w:left w:val="single" w:color="C0392B" w:sz="16"/>
              <w:bottom w:val="none"/>
              <w:right w:val="none"/>
            </w:tcBorders>
            <w:shd w:fill="FDEDEC" w:val="clear"/>
            <w:tcMar>
              <w:top w:type="dxa" w:w="100"/>
              <w:left w:type="dxa" w:w="160"/>
              <w:bottom w:type="dxa" w:w="100"/>
              <w:right w:type="dxa" w:w="160"/>
            </w:tcMar>
          </w:tcPr>
          <w:p>
            <w:pPr>
              <w:spacing w:after="0"/>
            </w:pPr>
            <w:r>
              <w:rPr>
                <w:rFonts w:ascii="Arial" w:cs="Arial" w:eastAsia="Arial" w:hAnsi="Arial"/>
                <w:b/>
                <w:bCs/>
                <w:color w:val="C0392B"/>
                <w:sz w:val="22"/>
                <w:szCs w:val="22"/>
              </w:rPr>
              <w:t xml:space="preserve">🔴  </w:t>
            </w:r>
            <w:r>
              <w:rPr>
                <w:rFonts w:ascii="Arial" w:cs="Arial" w:eastAsia="Arial" w:hAnsi="Arial"/>
                <w:color w:val="1A1A2E"/>
                <w:sz w:val="22"/>
                <w:szCs w:val="22"/>
              </w:rPr>
              <w:t xml:space="preserve">ANNUAL REQUIREMENT: BarPass must complete and submit SAQ P2PE to its acquiring bank (the bank that processes payments through Stripe) annually. Failure to maintain SAQ compliance can result in fines of $5,000-$100,000/month from card networks. Calendar this for Q1 of each year.</w:t>
            </w:r>
          </w:p>
        </w:tc>
      </w:tr>
    </w:tbl>
    <w:p>
      <w:r>
        <w:br w:type="page"/>
      </w:r>
    </w:p>
    <w:p>
      <w:pPr>
        <w:spacing w:after="80" w:before="320"/>
      </w:pPr>
      <w:r>
        <w:rPr>
          <w:rFonts w:ascii="Arial" w:cs="Arial" w:eastAsia="Arial" w:hAnsi="Arial"/>
          <w:b/>
          <w:bCs/>
          <w:color w:val="FFFFFF"/>
          <w:sz w:val="18"/>
          <w:szCs w:val="18"/>
          <w:shd w:fill="1B3A6B" w:val="clear"/>
        </w:rPr>
        <w:t xml:space="preserve">  SECTION 5 — INTERNAL FRAUD PREVENTION  </w:t>
      </w:r>
    </w:p>
    <w:p>
      <w:pPr>
        <w:pStyle w:val="Heading1"/>
        <w:spacing w:after="160" w:before="400"/>
      </w:pPr>
      <w:r>
        <w:rPr>
          <w:rFonts w:ascii="Arial" w:cs="Arial" w:eastAsia="Arial" w:hAnsi="Arial"/>
          <w:b/>
          <w:bCs/>
          <w:color w:val="1B3A6B"/>
          <w:sz w:val="36"/>
          <w:szCs w:val="36"/>
        </w:rPr>
        <w:t xml:space="preserve">5. Internal Fraud Controls and Anti-Fraud System</w:t>
      </w:r>
    </w:p>
    <w:p>
      <w:pPr>
        <w:pBdr>
          <w:bottom w:val="single" w:color="2E75B6" w:sz="8" w:space="1"/>
        </w:pBdr>
        <w:spacing w:after="160"/>
      </w:pPr>
    </w:p>
    <w:p>
      <w:pPr>
        <w:pStyle w:val="Heading2"/>
        <w:spacing w:after="120" w:before="320"/>
      </w:pPr>
      <w:r>
        <w:rPr>
          <w:rFonts w:ascii="Arial" w:cs="Arial" w:eastAsia="Arial" w:hAnsi="Arial"/>
          <w:b/>
          <w:bCs/>
          <w:color w:val="2E75B6"/>
          <w:sz w:val="28"/>
          <w:szCs w:val="28"/>
        </w:rPr>
        <w:t xml:space="preserve">5.1 Mandatory Approval Architecture</w:t>
      </w:r>
    </w:p>
    <w:p>
      <w:pPr>
        <w:pStyle w:val="Heading3"/>
        <w:spacing w:after="80" w:before="240"/>
      </w:pPr>
      <w:r>
        <w:rPr>
          <w:rFonts w:ascii="Arial" w:cs="Arial" w:eastAsia="Arial" w:hAnsi="Arial"/>
          <w:b/>
          <w:bCs/>
          <w:color w:val="1B3A6B"/>
          <w:sz w:val="24"/>
          <w:szCs w:val="24"/>
        </w:rPr>
        <w:t xml:space="preserve">5.1.1 Refund Authorization Hierarchy</w:t>
      </w:r>
    </w:p>
    <w:p>
      <w:pPr>
        <w:spacing w:after="120" w:before="0"/>
        <w:jc w:val="left"/>
      </w:pPr>
      <w:r>
        <w:rPr>
          <w:rFonts w:ascii="Arial" w:cs="Arial" w:eastAsia="Arial" w:hAnsi="Arial"/>
          <w:b w:val="false"/>
          <w:bCs w:val="false"/>
          <w:i w:val="false"/>
          <w:iCs w:val="false"/>
          <w:color w:val="1A1A2E"/>
          <w:sz w:val="22"/>
          <w:szCs w:val="22"/>
        </w:rPr>
        <w:t xml:space="preserve">No refund may be processed in the BarPass system without passing through all of the following controls: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840"/>
        <w:gridCol w:w="3480"/>
      </w:tblGrid>
      <w:tr>
        <w:tc>
          <w:tcPr>
            <w:tcW w:type="dxa" w:w="20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Control Layer</w:t>
            </w:r>
          </w:p>
        </w:tc>
        <w:tc>
          <w:tcPr>
            <w:tcW w:type="dxa" w:w="38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Mechanism</w:t>
            </w:r>
          </w:p>
        </w:tc>
        <w:tc>
          <w:tcPr>
            <w:tcW w:type="dxa" w:w="34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Cannot Be Bypassed By</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Layer 1: Bartender initiates</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Bartender creates refund request with reason code. Cannot self-approve.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Bartender role</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Layer 2: Manager PIN</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Manager enters 6-digit PIN (unique per manager, not shared). System validates PIN hash against database.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Bartender, Owner (unless also Manager)</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Layer 3: Temporal controls</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System enforces: max 3 refunds/hour/employee, max $200/single refund, max $500/shift/employee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All roles — requires BarPass Operations override</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Layer 4: Audit log creation</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Immutable log entry created BEFORE refund is processed, containing: approver ID, timestamp, GPS of device, transaction ID, reason code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All roles — log entry is prerequisite to processing</w:t>
            </w:r>
          </w:p>
        </w:tc>
      </w:tr>
      <w:tr>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Layer 5: Receipt push</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Automated receipt sent to customer's last known contact method immediately upon refund completion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All roles — creates customer-verifiable paper trail</w:t>
            </w:r>
          </w:p>
        </w:tc>
      </w:tr>
    </w:tbl>
    <w:p>
      <w:pPr>
        <w:spacing w:after="120"/>
      </w:pPr>
    </w:p>
    <w:p>
      <w:pPr>
        <w:pStyle w:val="Heading3"/>
        <w:spacing w:after="80" w:before="240"/>
      </w:pPr>
      <w:r>
        <w:rPr>
          <w:rFonts w:ascii="Arial" w:cs="Arial" w:eastAsia="Arial" w:hAnsi="Arial"/>
          <w:b/>
          <w:bCs/>
          <w:color w:val="1B3A6B"/>
          <w:sz w:val="24"/>
          <w:szCs w:val="24"/>
        </w:rPr>
        <w:t xml:space="preserve">5.1.2 Manager PIN Management Security Requirements</w:t>
      </w:r>
    </w:p>
    <w:p>
      <w:pPr>
        <w:pStyle w:val="ListParagraph"/>
        <w:numPr>
          <w:ilvl w:val="0"/>
          <w:numId w:val="2"/>
        </w:numPr>
        <w:spacing w:after="80"/>
      </w:pPr>
      <w:r>
        <w:rPr>
          <w:rFonts w:ascii="Arial" w:cs="Arial" w:eastAsia="Arial" w:hAnsi="Arial"/>
          <w:b w:val="false"/>
          <w:bCs w:val="false"/>
          <w:color w:val="1A1A2E"/>
          <w:sz w:val="22"/>
          <w:szCs w:val="22"/>
        </w:rPr>
        <w:t xml:space="preserve">Each Manager receives a unique 6-digit PIN, never shared with other employees</w:t>
      </w:r>
    </w:p>
    <w:p>
      <w:pPr>
        <w:pStyle w:val="ListParagraph"/>
        <w:numPr>
          <w:ilvl w:val="0"/>
          <w:numId w:val="2"/>
        </w:numPr>
        <w:spacing w:after="80"/>
      </w:pPr>
      <w:r>
        <w:rPr>
          <w:rFonts w:ascii="Arial" w:cs="Arial" w:eastAsia="Arial" w:hAnsi="Arial"/>
          <w:b w:val="false"/>
          <w:bCs w:val="false"/>
          <w:color w:val="1A1A2E"/>
          <w:sz w:val="22"/>
          <w:szCs w:val="22"/>
        </w:rPr>
        <w:t xml:space="preserve">PINs stored as salted SHA-256 hashes — never in plaintext, never in logs</w:t>
      </w:r>
    </w:p>
    <w:p>
      <w:pPr>
        <w:pStyle w:val="ListParagraph"/>
        <w:numPr>
          <w:ilvl w:val="0"/>
          <w:numId w:val="2"/>
        </w:numPr>
        <w:spacing w:after="80"/>
      </w:pPr>
      <w:r>
        <w:rPr>
          <w:rFonts w:ascii="Arial" w:cs="Arial" w:eastAsia="Arial" w:hAnsi="Arial"/>
          <w:b w:val="false"/>
          <w:bCs w:val="false"/>
          <w:color w:val="1A1A2E"/>
          <w:sz w:val="22"/>
          <w:szCs w:val="22"/>
        </w:rPr>
        <w:t xml:space="preserve">PIN must be changed every 90 days — system enforces mandatory rotation</w:t>
      </w:r>
    </w:p>
    <w:p>
      <w:pPr>
        <w:pStyle w:val="ListParagraph"/>
        <w:numPr>
          <w:ilvl w:val="0"/>
          <w:numId w:val="2"/>
        </w:numPr>
        <w:spacing w:after="80"/>
      </w:pPr>
      <w:r>
        <w:rPr>
          <w:rFonts w:ascii="Arial" w:cs="Arial" w:eastAsia="Arial" w:hAnsi="Arial"/>
          <w:b w:val="false"/>
          <w:bCs w:val="false"/>
          <w:color w:val="1A1A2E"/>
          <w:sz w:val="22"/>
          <w:szCs w:val="22"/>
        </w:rPr>
        <w:t xml:space="preserve">Failed PIN attempts: 3 consecutive failures trigger 15-minute lockout and Owner notification</w:t>
      </w:r>
    </w:p>
    <w:p>
      <w:pPr>
        <w:pStyle w:val="ListParagraph"/>
        <w:numPr>
          <w:ilvl w:val="0"/>
          <w:numId w:val="2"/>
        </w:numPr>
        <w:spacing w:after="80"/>
      </w:pPr>
      <w:r>
        <w:rPr>
          <w:rFonts w:ascii="Arial" w:cs="Arial" w:eastAsia="Arial" w:hAnsi="Arial"/>
          <w:b w:val="false"/>
          <w:bCs w:val="false"/>
          <w:color w:val="1A1A2E"/>
          <w:sz w:val="22"/>
          <w:szCs w:val="22"/>
        </w:rPr>
        <w:t xml:space="preserve">Manager's PIN is personal liability — sharing a PIN is grounds for immediate termination</w:t>
      </w:r>
    </w:p>
    <w:p>
      <w:pPr>
        <w:pStyle w:val="ListParagraph"/>
        <w:numPr>
          <w:ilvl w:val="0"/>
          <w:numId w:val="2"/>
        </w:numPr>
        <w:spacing w:after="80"/>
      </w:pPr>
      <w:r>
        <w:rPr>
          <w:rFonts w:ascii="Arial" w:cs="Arial" w:eastAsia="Arial" w:hAnsi="Arial"/>
          <w:b w:val="false"/>
          <w:bCs w:val="false"/>
          <w:color w:val="1A1A2E"/>
          <w:sz w:val="22"/>
          <w:szCs w:val="22"/>
        </w:rPr>
        <w:t xml:space="preserve">PIN usage is logged with: timestamp, terminal ID, transaction value, approving employee ID</w:t>
      </w:r>
    </w:p>
    <w:p>
      <w:pPr>
        <w:spacing w:after="120"/>
      </w:pPr>
    </w:p>
    <w:p>
      <w:pPr>
        <w:pStyle w:val="Heading2"/>
        <w:spacing w:after="120" w:before="320"/>
      </w:pPr>
      <w:r>
        <w:rPr>
          <w:rFonts w:ascii="Arial" w:cs="Arial" w:eastAsia="Arial" w:hAnsi="Arial"/>
          <w:b/>
          <w:bCs/>
          <w:color w:val="2E75B6"/>
          <w:sz w:val="28"/>
          <w:szCs w:val="28"/>
        </w:rPr>
        <w:t xml:space="preserve">5.2 Real-Time Behavioral Monitoring</w:t>
      </w:r>
    </w:p>
    <w:p>
      <w:pPr>
        <w:pStyle w:val="Heading3"/>
        <w:spacing w:after="80" w:before="240"/>
      </w:pPr>
      <w:r>
        <w:rPr>
          <w:rFonts w:ascii="Arial" w:cs="Arial" w:eastAsia="Arial" w:hAnsi="Arial"/>
          <w:b/>
          <w:bCs/>
          <w:color w:val="1B3A6B"/>
          <w:sz w:val="24"/>
          <w:szCs w:val="24"/>
        </w:rPr>
        <w:t xml:space="preserve">5.2.1 Automated Anomaly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Rule Name</w:t>
            </w:r>
          </w:p>
        </w:tc>
        <w:tc>
          <w:tcPr>
            <w:tcW w:type="dxa" w:w="34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 Condition</w:t>
            </w:r>
          </w:p>
        </w:tc>
        <w:tc>
          <w:tcPr>
            <w:tcW w:type="dxa" w:w="31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Velocity Refund Rule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Same employee processes &gt;2 refunds within 20 minutes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Yellow alert to Manager and Owner. Third refund requires Owner approval.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High-Value Refund Rule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Single refund &gt;$100</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Requires Owner-level PIN regardless of order time. Logged as high-value event.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Round Number Rule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Refund is an exact round number (e.g., $50.00, $100.00)</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Flagged for manual review. Not blocked, but creates audit note.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Off-Hours Refund Rule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Refund processed outside venue operating hours (as defined in venue profile)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Blocked automatically. Requires BarPass Operations override.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Void-Rebuy Rule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Same item voided and re-ordered by same bartender &gt;2x in one shift</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Alert to Manager. Pattern logged for end-of-shift review.</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New Employee Rule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Employee with &lt;30 days on system processes a refund &gt;$50</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Requires dual Manager+Owner approval regardless of amount.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Account Takeover Pattern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Manager PIN used from device not previously associated with that manager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Immediate block. Owner notified. Must confirm via separate channel.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Duplicate Refund Rule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Refund request for a transaction ID that has already been refunded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Hard block — cannot be overridden at venue level. BarPass Ops required.</w:t>
            </w:r>
          </w:p>
        </w:tc>
      </w:tr>
    </w:tbl>
    <w:p>
      <w:pPr>
        <w:spacing w:after="120"/>
      </w:pPr>
    </w:p>
    <w:p>
      <w:pPr>
        <w:pStyle w:val="Heading2"/>
        <w:spacing w:after="120" w:before="320"/>
      </w:pPr>
      <w:r>
        <w:rPr>
          <w:rFonts w:ascii="Arial" w:cs="Arial" w:eastAsia="Arial" w:hAnsi="Arial"/>
          <w:b/>
          <w:bCs/>
          <w:color w:val="2E75B6"/>
          <w:sz w:val="28"/>
          <w:szCs w:val="28"/>
        </w:rPr>
        <w:t xml:space="preserve">5.3 Employee Accountability Provisions</w:t>
      </w:r>
    </w:p>
    <w:p>
      <w:pPr>
        <w:pStyle w:val="Heading3"/>
        <w:spacing w:after="80" w:before="240"/>
      </w:pPr>
      <w:r>
        <w:rPr>
          <w:rFonts w:ascii="Arial" w:cs="Arial" w:eastAsia="Arial" w:hAnsi="Arial"/>
          <w:b/>
          <w:bCs/>
          <w:color w:val="1B3A6B"/>
          <w:sz w:val="24"/>
          <w:szCs w:val="24"/>
        </w:rPr>
        <w:t xml:space="preserve">5.3.1 Contractual Obligations for Venue Operators</w:t>
      </w:r>
    </w:p>
    <w:p>
      <w:pPr>
        <w:spacing w:after="120" w:before="0"/>
        <w:jc w:val="left"/>
      </w:pPr>
      <w:r>
        <w:rPr>
          <w:rFonts w:ascii="Arial" w:cs="Arial" w:eastAsia="Arial" w:hAnsi="Arial"/>
          <w:b w:val="false"/>
          <w:bCs w:val="false"/>
          <w:i w:val="false"/>
          <w:iCs w:val="false"/>
          <w:color w:val="1A1A2E"/>
          <w:sz w:val="22"/>
          <w:szCs w:val="22"/>
        </w:rPr>
        <w:t xml:space="preserve">BarPass Service Agreement requires Venue Operators to:</w:t>
      </w:r>
    </w:p>
    <w:p>
      <w:pPr>
        <w:pStyle w:val="ListParagraph"/>
        <w:numPr>
          <w:ilvl w:val="0"/>
          <w:numId w:val="2"/>
        </w:numPr>
        <w:spacing w:after="80"/>
      </w:pPr>
      <w:r>
        <w:rPr>
          <w:rFonts w:ascii="Arial" w:cs="Arial" w:eastAsia="Arial" w:hAnsi="Arial"/>
          <w:b w:val="false"/>
          <w:bCs w:val="false"/>
          <w:color w:val="1A1A2E"/>
          <w:sz w:val="22"/>
          <w:szCs w:val="22"/>
        </w:rPr>
        <w:t xml:space="preserve">Communicate all refund policies to employees in writing at onboarding</w:t>
      </w:r>
    </w:p>
    <w:p>
      <w:pPr>
        <w:pStyle w:val="ListParagraph"/>
        <w:numPr>
          <w:ilvl w:val="0"/>
          <w:numId w:val="2"/>
        </w:numPr>
        <w:spacing w:after="80"/>
      </w:pPr>
      <w:r>
        <w:rPr>
          <w:rFonts w:ascii="Arial" w:cs="Arial" w:eastAsia="Arial" w:hAnsi="Arial"/>
          <w:b w:val="false"/>
          <w:bCs w:val="false"/>
          <w:color w:val="1A1A2E"/>
          <w:sz w:val="22"/>
          <w:szCs w:val="22"/>
        </w:rPr>
        <w:t xml:space="preserve">Include BarPass fraud control policies in employee handbook</w:t>
      </w:r>
    </w:p>
    <w:p>
      <w:pPr>
        <w:pStyle w:val="ListParagraph"/>
        <w:numPr>
          <w:ilvl w:val="0"/>
          <w:numId w:val="2"/>
        </w:numPr>
        <w:spacing w:after="80"/>
      </w:pPr>
      <w:r>
        <w:rPr>
          <w:rFonts w:ascii="Arial" w:cs="Arial" w:eastAsia="Arial" w:hAnsi="Arial"/>
          <w:b w:val="false"/>
          <w:bCs w:val="false"/>
          <w:color w:val="1A1A2E"/>
          <w:sz w:val="22"/>
          <w:szCs w:val="22"/>
        </w:rPr>
        <w:t xml:space="preserve">Treat unauthorized refund approval as grounds for immediate termination and potential criminal referral</w:t>
      </w:r>
    </w:p>
    <w:p>
      <w:pPr>
        <w:pStyle w:val="ListParagraph"/>
        <w:numPr>
          <w:ilvl w:val="0"/>
          <w:numId w:val="2"/>
        </w:numPr>
        <w:spacing w:after="80"/>
      </w:pPr>
      <w:r>
        <w:rPr>
          <w:rFonts w:ascii="Arial" w:cs="Arial" w:eastAsia="Arial" w:hAnsi="Arial"/>
          <w:b w:val="false"/>
          <w:bCs w:val="false"/>
          <w:color w:val="1A1A2E"/>
          <w:sz w:val="22"/>
          <w:szCs w:val="22"/>
        </w:rPr>
        <w:t xml:space="preserve">Report to BarPass any suspected internal fraud within 24 hours of discovery</w:t>
      </w:r>
    </w:p>
    <w:p>
      <w:pPr>
        <w:pStyle w:val="ListParagraph"/>
        <w:numPr>
          <w:ilvl w:val="0"/>
          <w:numId w:val="2"/>
        </w:numPr>
        <w:spacing w:after="80"/>
      </w:pPr>
      <w:r>
        <w:rPr>
          <w:rFonts w:ascii="Arial" w:cs="Arial" w:eastAsia="Arial" w:hAnsi="Arial"/>
          <w:b w:val="false"/>
          <w:bCs w:val="false"/>
          <w:color w:val="1A1A2E"/>
          <w:sz w:val="22"/>
          <w:szCs w:val="22"/>
        </w:rPr>
        <w:t xml:space="preserve">Cooperate fully with any BarPass or law enforcement investigation</w:t>
      </w:r>
    </w:p>
    <w:p>
      <w:pPr>
        <w:spacing w:after="120"/>
      </w:pPr>
    </w:p>
    <w:p>
      <w:pPr>
        <w:pStyle w:val="Heading3"/>
        <w:spacing w:after="80" w:before="240"/>
      </w:pPr>
      <w:r>
        <w:rPr>
          <w:rFonts w:ascii="Arial" w:cs="Arial" w:eastAsia="Arial" w:hAnsi="Arial"/>
          <w:b/>
          <w:bCs/>
          <w:color w:val="1B3A6B"/>
          <w:sz w:val="24"/>
          <w:szCs w:val="24"/>
        </w:rPr>
        <w:t xml:space="preserve">5.3.2 Employee Consent and Acknowledgment</w:t>
      </w:r>
    </w:p>
    <w:p>
      <w:pPr>
        <w:spacing w:after="120" w:before="0"/>
        <w:jc w:val="left"/>
      </w:pPr>
      <w:r>
        <w:rPr>
          <w:rFonts w:ascii="Arial" w:cs="Arial" w:eastAsia="Arial" w:hAnsi="Arial"/>
          <w:b w:val="false"/>
          <w:bCs w:val="false"/>
          <w:i w:val="false"/>
          <w:iCs w:val="false"/>
          <w:color w:val="1A1A2E"/>
          <w:sz w:val="22"/>
          <w:szCs w:val="22"/>
        </w:rPr>
        <w:t xml:space="preserve">All employees accessing BarPass systems must sign an Employee Usage Agreement acknowledging:</w:t>
      </w:r>
    </w:p>
    <w:p>
      <w:pPr>
        <w:pStyle w:val="ListParagraph"/>
        <w:numPr>
          <w:ilvl w:val="0"/>
          <w:numId w:val="2"/>
        </w:numPr>
        <w:spacing w:after="80"/>
      </w:pPr>
      <w:r>
        <w:rPr>
          <w:rFonts w:ascii="Arial" w:cs="Arial" w:eastAsia="Arial" w:hAnsi="Arial"/>
          <w:b w:val="false"/>
          <w:bCs w:val="false"/>
          <w:color w:val="1A1A2E"/>
          <w:sz w:val="22"/>
          <w:szCs w:val="22"/>
        </w:rPr>
        <w:t xml:space="preserve">All actions within BarPass are logged with full audit trail and may be reviewed at any time</w:t>
      </w:r>
    </w:p>
    <w:p>
      <w:pPr>
        <w:pStyle w:val="ListParagraph"/>
        <w:numPr>
          <w:ilvl w:val="0"/>
          <w:numId w:val="2"/>
        </w:numPr>
        <w:spacing w:after="80"/>
      </w:pPr>
      <w:r>
        <w:rPr>
          <w:rFonts w:ascii="Arial" w:cs="Arial" w:eastAsia="Arial" w:hAnsi="Arial"/>
          <w:b w:val="false"/>
          <w:bCs w:val="false"/>
          <w:color w:val="1A1A2E"/>
          <w:sz w:val="22"/>
          <w:szCs w:val="22"/>
        </w:rPr>
        <w:t xml:space="preserve">PIN usage constitutes electronic signature carrying the same legal weight as a physical signature</w:t>
      </w:r>
    </w:p>
    <w:p>
      <w:pPr>
        <w:pStyle w:val="ListParagraph"/>
        <w:numPr>
          <w:ilvl w:val="0"/>
          <w:numId w:val="2"/>
        </w:numPr>
        <w:spacing w:after="80"/>
      </w:pPr>
      <w:r>
        <w:rPr>
          <w:rFonts w:ascii="Arial" w:cs="Arial" w:eastAsia="Arial" w:hAnsi="Arial"/>
          <w:b w:val="false"/>
          <w:bCs w:val="false"/>
          <w:color w:val="1A1A2E"/>
          <w:sz w:val="22"/>
          <w:szCs w:val="22"/>
        </w:rPr>
        <w:t xml:space="preserve">Unauthorized refund approval, PIN sharing, or system manipulation may constitute fraud under Florida Statute § 812.014</w:t>
      </w:r>
    </w:p>
    <w:p>
      <w:pPr>
        <w:pStyle w:val="ListParagraph"/>
        <w:numPr>
          <w:ilvl w:val="0"/>
          <w:numId w:val="2"/>
        </w:numPr>
        <w:spacing w:after="80"/>
      </w:pPr>
      <w:r>
        <w:rPr>
          <w:rFonts w:ascii="Arial" w:cs="Arial" w:eastAsia="Arial" w:hAnsi="Arial"/>
          <w:b w:val="false"/>
          <w:bCs w:val="false"/>
          <w:color w:val="1A1A2E"/>
          <w:sz w:val="22"/>
          <w:szCs w:val="22"/>
        </w:rPr>
        <w:t xml:space="preserve">Employee consent to cooperate with investigations and acknowledge that audit logs are admissible evidence</w:t>
      </w:r>
    </w:p>
    <w:p>
      <w:r>
        <w:br w:type="page"/>
      </w:r>
    </w:p>
    <w:p>
      <w:pPr>
        <w:spacing w:after="80" w:before="320"/>
      </w:pPr>
      <w:r>
        <w:rPr>
          <w:rFonts w:ascii="Arial" w:cs="Arial" w:eastAsia="Arial" w:hAnsi="Arial"/>
          <w:b/>
          <w:bCs/>
          <w:color w:val="FFFFFF"/>
          <w:sz w:val="18"/>
          <w:szCs w:val="18"/>
          <w:shd w:fill="2E75B6" w:val="clear"/>
        </w:rPr>
        <w:t xml:space="preserve">  SECTION 6 — TECHNICAL RISK MANAGEMENT  </w:t>
      </w:r>
    </w:p>
    <w:p>
      <w:pPr>
        <w:pStyle w:val="Heading1"/>
        <w:spacing w:after="160" w:before="400"/>
      </w:pPr>
      <w:r>
        <w:rPr>
          <w:rFonts w:ascii="Arial" w:cs="Arial" w:eastAsia="Arial" w:hAnsi="Arial"/>
          <w:b/>
          <w:bCs/>
          <w:color w:val="1B3A6B"/>
          <w:sz w:val="36"/>
          <w:szCs w:val="36"/>
        </w:rPr>
        <w:t xml:space="preserve">6. Technical Risk Analysis and Scalability Plan</w:t>
      </w:r>
    </w:p>
    <w:p>
      <w:pPr>
        <w:pBdr>
          <w:bottom w:val="single" w:color="2E75B6" w:sz="8" w:space="1"/>
        </w:pBdr>
        <w:spacing w:after="160"/>
      </w:pPr>
    </w:p>
    <w:p>
      <w:pPr>
        <w:pStyle w:val="Heading2"/>
        <w:spacing w:after="120" w:before="320"/>
      </w:pPr>
      <w:r>
        <w:rPr>
          <w:rFonts w:ascii="Arial" w:cs="Arial" w:eastAsia="Arial" w:hAnsi="Arial"/>
          <w:b/>
          <w:bCs/>
          <w:color w:val="2E75B6"/>
          <w:sz w:val="28"/>
          <w:szCs w:val="28"/>
        </w:rPr>
        <w:t xml:space="preserve">6.1 Critical Infrastructure Vulnerability: Redis Single Node</w:t>
      </w:r>
    </w:p>
    <w:tbl>
      <w:tblPr>
        <w:tblW w:type="dxa" w:w="9360"/>
        <w:tblBorders>
          <w:top w:val="single" w:color="C0392B" w:sz="4"/>
          <w:left w:val="single" w:color="C0392B" w:sz="4"/>
          <w:bottom w:val="single" w:color="C0392B" w:sz="4"/>
          <w:right w:val="single" w:color="C0392B" w:sz="4"/>
          <w:insideH w:val="single" w:color="auto" w:sz="4"/>
          <w:insideV w:val="single" w:color="auto" w:sz="4"/>
        </w:tblBorders>
      </w:tblPr>
      <w:tblGrid>
        <w:gridCol w:w="9360"/>
      </w:tblGrid>
      <w:tr>
        <w:tc>
          <w:tcPr>
            <w:tcW w:type="dxa" w:w="9360"/>
            <w:tcBorders>
              <w:top w:val="none"/>
              <w:left w:val="single" w:color="C0392B" w:sz="16"/>
              <w:bottom w:val="none"/>
              <w:right w:val="none"/>
            </w:tcBorders>
            <w:shd w:fill="FDEDEC" w:val="clear"/>
            <w:tcMar>
              <w:top w:type="dxa" w:w="100"/>
              <w:left w:type="dxa" w:w="160"/>
              <w:bottom w:type="dxa" w:w="100"/>
              <w:right w:type="dxa" w:w="160"/>
            </w:tcMar>
          </w:tcPr>
          <w:p>
            <w:pPr>
              <w:spacing w:after="0"/>
            </w:pPr>
            <w:r>
              <w:rPr>
                <w:rFonts w:ascii="Arial" w:cs="Arial" w:eastAsia="Arial" w:hAnsi="Arial"/>
                <w:b/>
                <w:bCs/>
                <w:color w:val="C0392B"/>
                <w:sz w:val="22"/>
                <w:szCs w:val="22"/>
              </w:rPr>
              <w:t xml:space="preserve">🔴  </w:t>
            </w:r>
            <w:r>
              <w:rPr>
                <w:rFonts w:ascii="Arial" w:cs="Arial" w:eastAsia="Arial" w:hAnsi="Arial"/>
                <w:color w:val="1A1A2E"/>
                <w:sz w:val="22"/>
                <w:szCs w:val="22"/>
              </w:rPr>
              <w:t xml:space="preserve">IDENTIFIED RISK: The current BarPass v7 architecture relies on a single Redis node for session management, real-time dashboard data, BullMQ job queues, and WebSocket pub/sub coordination. This constitutes a Single Point of Failure (SPOF) that could cause complete system outage if the Redis instance fails.</w:t>
            </w:r>
          </w:p>
        </w:tc>
      </w:tr>
    </w:tbl>
    <w:p>
      <w:pPr>
        <w:spacing w:after="120"/>
      </w:pPr>
    </w:p>
    <w:p>
      <w:pPr>
        <w:pStyle w:val="Heading3"/>
        <w:spacing w:after="80" w:before="240"/>
      </w:pPr>
      <w:r>
        <w:rPr>
          <w:rFonts w:ascii="Arial" w:cs="Arial" w:eastAsia="Arial" w:hAnsi="Arial"/>
          <w:b/>
          <w:bCs/>
          <w:color w:val="1B3A6B"/>
          <w:sz w:val="24"/>
          <w:szCs w:val="24"/>
        </w:rPr>
        <w:t xml:space="preserve">6.1.1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Dimension</w:t>
            </w:r>
          </w:p>
        </w:tc>
        <w:tc>
          <w:tcPr>
            <w:tcW w:type="dxa" w:w="62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Assessment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Failure Probability (per year)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Single Redis instance: ~15% probability of significant downtime annually based on industry data</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Mean Time to Recovery (MTTR)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Without clustering: 10-45 minutes (manual restart + data recovery)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Business Impact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Complete halt of: all payment processing, all ID verifications, all real-time dashboards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Revenue Impact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At $199/mo per venue, a 1-hour outage across 20 venues = ~$5.50 in direct SLA credit exposure + significant reputational damage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Legal Exposure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If outage occurs during peak hours and patron is served without proper ID verification, Venue bears dram shop liability exposure that BarPass audit trail cannot mitigate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Current Mitigation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SQLite offline queue provides 4-hour local buffer for ID scanning. Dashboard and payments degraded but not completely blocked.</w:t>
            </w:r>
          </w:p>
        </w:tc>
      </w:tr>
    </w:tbl>
    <w:p>
      <w:pPr>
        <w:spacing w:after="120"/>
      </w:pPr>
    </w:p>
    <w:p>
      <w:pPr>
        <w:pStyle w:val="Heading3"/>
        <w:spacing w:after="80" w:before="240"/>
      </w:pPr>
      <w:r>
        <w:rPr>
          <w:rFonts w:ascii="Arial" w:cs="Arial" w:eastAsia="Arial" w:hAnsi="Arial"/>
          <w:b/>
          <w:bCs/>
          <w:color w:val="1B3A6B"/>
          <w:sz w:val="24"/>
          <w:szCs w:val="24"/>
        </w:rPr>
        <w:t xml:space="preserve">6.1.2 Redis Upgrade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c>
          <w:tcPr>
            <w:tcW w:type="dxa" w:w="21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c>
          <w:tcPr>
            <w:tcW w:type="dxa" w:w="50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 Required</w:t>
            </w:r>
          </w:p>
        </w:tc>
        <w:tc>
          <w:tcPr>
            <w:tcW w:type="dxa" w:w="21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 Date</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Current (MVP)</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Single Redis node on Railway. Monitor with health checks every 30 seconds. Alert on missed heartbeat.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Active now</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10+ Active Venues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Migrate to Redis Sentinel (3-node: 1 primary + 2 replicas + 3 sentinels). Eliminates SPOF for reads. Automatic failover in &lt;30 seconds.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Trigger: 10th venue signs</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25+ Active Venues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Implement Redis Cluster (6-node minimum: 3 primary + 3 replica shards). Horizontal scaling for high write throughput. Supports 500+ concurrent sessions.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Trigger: 25th venue OR peak traffic &gt;200 concurrent users</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50+ Active Venues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Enterprise Redis (Redis Enterprise Cloud or AWS ElastiCache with Global Datastore). Multi-region replication. SLA-backed 99.99% availability.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Trigger: Series A funding OR 50th venue</w:t>
            </w:r>
          </w:p>
        </w:tc>
      </w:tr>
    </w:tbl>
    <w:p>
      <w:pPr>
        <w:spacing w:after="120"/>
      </w:pPr>
    </w:p>
    <w:p>
      <w:pPr>
        <w:pStyle w:val="Heading3"/>
        <w:spacing w:after="80" w:before="240"/>
      </w:pPr>
      <w:r>
        <w:rPr>
          <w:rFonts w:ascii="Arial" w:cs="Arial" w:eastAsia="Arial" w:hAnsi="Arial"/>
          <w:b/>
          <w:bCs/>
          <w:color w:val="1B3A6B"/>
          <w:sz w:val="24"/>
          <w:szCs w:val="24"/>
        </w:rPr>
        <w:t xml:space="preserve">6.1.3 Redis Sentinel Implementation Plan</w:t>
      </w:r>
    </w:p>
    <w:p>
      <w:pPr>
        <w:spacing w:after="120" w:before="0"/>
        <w:jc w:val="left"/>
      </w:pPr>
      <w:r>
        <w:rPr>
          <w:rFonts w:ascii="Arial" w:cs="Arial" w:eastAsia="Arial" w:hAnsi="Arial"/>
          <w:b w:val="false"/>
          <w:bCs w:val="false"/>
          <w:i w:val="false"/>
          <w:iCs w:val="false"/>
          <w:color w:val="1A1A2E"/>
          <w:sz w:val="22"/>
          <w:szCs w:val="22"/>
        </w:rPr>
        <w:t xml:space="preserve">Redis Sentinel provides automatic failover and monitoring without sharding complexity. Implementation steps for the 10-venue milestone:</w:t>
      </w:r>
    </w:p>
    <w:p>
      <w:pPr>
        <w:pStyle w:val="ListParagraph"/>
        <w:numPr>
          <w:ilvl w:val="0"/>
          <w:numId w:val="3"/>
        </w:numPr>
        <w:spacing w:after="80"/>
      </w:pPr>
      <w:r>
        <w:rPr>
          <w:rFonts w:ascii="Arial" w:cs="Arial" w:eastAsia="Arial" w:hAnsi="Arial"/>
          <w:color w:val="1A1A2E"/>
          <w:sz w:val="22"/>
          <w:szCs w:val="22"/>
        </w:rPr>
        <w:t xml:space="preserve">Provision 3 separate Railway services: redis-primary, redis-replica-1, redis-replica-2</w:t>
      </w:r>
    </w:p>
    <w:p>
      <w:pPr>
        <w:pStyle w:val="ListParagraph"/>
        <w:numPr>
          <w:ilvl w:val="0"/>
          <w:numId w:val="3"/>
        </w:numPr>
        <w:spacing w:after="80"/>
      </w:pPr>
      <w:r>
        <w:rPr>
          <w:rFonts w:ascii="Arial" w:cs="Arial" w:eastAsia="Arial" w:hAnsi="Arial"/>
          <w:color w:val="1A1A2E"/>
          <w:sz w:val="22"/>
          <w:szCs w:val="22"/>
        </w:rPr>
        <w:t xml:space="preserve">Configure replication: REPLICAOF redis-primary on both replicas</w:t>
      </w:r>
    </w:p>
    <w:p>
      <w:pPr>
        <w:pStyle w:val="ListParagraph"/>
        <w:numPr>
          <w:ilvl w:val="0"/>
          <w:numId w:val="3"/>
        </w:numPr>
        <w:spacing w:after="80"/>
      </w:pPr>
      <w:r>
        <w:rPr>
          <w:rFonts w:ascii="Arial" w:cs="Arial" w:eastAsia="Arial" w:hAnsi="Arial"/>
          <w:color w:val="1A1A2E"/>
          <w:sz w:val="22"/>
          <w:szCs w:val="22"/>
        </w:rPr>
        <w:t xml:space="preserve">Deploy 3 Sentinel instances monitoring the primary with quorum = 2</w:t>
      </w:r>
    </w:p>
    <w:p>
      <w:pPr>
        <w:pStyle w:val="ListParagraph"/>
        <w:numPr>
          <w:ilvl w:val="0"/>
          <w:numId w:val="3"/>
        </w:numPr>
        <w:spacing w:after="80"/>
      </w:pPr>
      <w:r>
        <w:rPr>
          <w:rFonts w:ascii="Arial" w:cs="Arial" w:eastAsia="Arial" w:hAnsi="Arial"/>
          <w:color w:val="1A1A2E"/>
          <w:sz w:val="22"/>
          <w:szCs w:val="22"/>
        </w:rPr>
        <w:t xml:space="preserve">Update BarPass application to use ioredis with Sentinel discovery: { sentinels: [{host, port}×3], name: "barpass-master" }</w:t>
      </w:r>
    </w:p>
    <w:p>
      <w:pPr>
        <w:pStyle w:val="ListParagraph"/>
        <w:numPr>
          <w:ilvl w:val="0"/>
          <w:numId w:val="3"/>
        </w:numPr>
        <w:spacing w:after="80"/>
      </w:pPr>
      <w:r>
        <w:rPr>
          <w:rFonts w:ascii="Arial" w:cs="Arial" w:eastAsia="Arial" w:hAnsi="Arial"/>
          <w:color w:val="1A1A2E"/>
          <w:sz w:val="22"/>
          <w:szCs w:val="22"/>
        </w:rPr>
        <w:t xml:space="preserve">Configure down-after-milliseconds: 5000 (Sentinel declares primary down after 5s of no response)</w:t>
      </w:r>
    </w:p>
    <w:p>
      <w:pPr>
        <w:pStyle w:val="ListParagraph"/>
        <w:numPr>
          <w:ilvl w:val="0"/>
          <w:numId w:val="3"/>
        </w:numPr>
        <w:spacing w:after="80"/>
      </w:pPr>
      <w:r>
        <w:rPr>
          <w:rFonts w:ascii="Arial" w:cs="Arial" w:eastAsia="Arial" w:hAnsi="Arial"/>
          <w:color w:val="1A1A2E"/>
          <w:sz w:val="22"/>
          <w:szCs w:val="22"/>
        </w:rPr>
        <w:t xml:space="preserve">Configure failover-timeout: 30000 (Sentinel waits 30s before promoting replica)</w:t>
      </w:r>
    </w:p>
    <w:p>
      <w:pPr>
        <w:pStyle w:val="ListParagraph"/>
        <w:numPr>
          <w:ilvl w:val="0"/>
          <w:numId w:val="3"/>
        </w:numPr>
        <w:spacing w:after="80"/>
      </w:pPr>
      <w:r>
        <w:rPr>
          <w:rFonts w:ascii="Arial" w:cs="Arial" w:eastAsia="Arial" w:hAnsi="Arial"/>
          <w:color w:val="1A1A2E"/>
          <w:sz w:val="22"/>
          <w:szCs w:val="22"/>
        </w:rPr>
        <w:t xml:space="preserve">Test failover: kill primary process, verify replica promotion completes within 35 seconds</w:t>
      </w:r>
    </w:p>
    <w:p>
      <w:pPr>
        <w:pStyle w:val="ListParagraph"/>
        <w:numPr>
          <w:ilvl w:val="0"/>
          <w:numId w:val="3"/>
        </w:numPr>
        <w:spacing w:after="80"/>
      </w:pPr>
      <w:r>
        <w:rPr>
          <w:rFonts w:ascii="Arial" w:cs="Arial" w:eastAsia="Arial" w:hAnsi="Arial"/>
          <w:color w:val="1A1A2E"/>
          <w:sz w:val="22"/>
          <w:szCs w:val="22"/>
        </w:rPr>
        <w:t xml:space="preserve">Update monitoring: alert if failover occurs, review root cause within 2 hours</w:t>
      </w:r>
    </w:p>
    <w:p>
      <w:pPr>
        <w:spacing w:after="120"/>
      </w:pPr>
    </w:p>
    <w:p>
      <w:pPr>
        <w:pStyle w:val="Heading2"/>
        <w:spacing w:after="120" w:before="320"/>
      </w:pPr>
      <w:r>
        <w:rPr>
          <w:rFonts w:ascii="Arial" w:cs="Arial" w:eastAsia="Arial" w:hAnsi="Arial"/>
          <w:b/>
          <w:bCs/>
          <w:color w:val="2E75B6"/>
          <w:sz w:val="28"/>
          <w:szCs w:val="28"/>
        </w:rPr>
        <w:t xml:space="preserve">6.2 Additional Technical Risk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360"/>
        <w:gridCol w:w="3840"/>
      </w:tblGrid>
      <w:tr>
        <w:tc>
          <w:tcPr>
            <w:tcW w:type="dxa" w:w="21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33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Current State</w:t>
            </w:r>
          </w:p>
        </w:tc>
        <w:tc>
          <w:tcPr>
            <w:tcW w:type="dxa" w:w="38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 Status</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Database single node (PostgreSQL/Supabase)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Single Supabase instance</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Supabase provides built-in replication. Enable Point-in-Time Recovery (PITR) immediately.</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AWS Rekognition API dependency</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Single API key, no fallback</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Implement circuit breaker pattern. Add Azure Face API as hot standby. Implement local fallback that allows manual review.</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Single Railway deployment region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US-East only</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Acceptable at MVP. At 25+ venues add US-West region for DR. Consider Cloudflare Workers for edge caching.</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JWT secret rotation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Static secret in env var</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Implement automatic 90-day rotation. Use AWS Secrets Manager or Vault at Series A.</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SQLite offline queue overflow</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4-hour capacity guaranteed</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Monitor queue depth hourly. Alert at 75% capacity (3 hours of offline). Auto-sync on reconnect with conflict resolution.</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Rate limiter state in memory</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In-process — resets on restart</w:t>
            </w:r>
          </w:p>
        </w:tc>
        <w:tc>
          <w:tcPr>
            <w:tcW w:type="dxa" w:w="38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Migrate rate limiter state to Redis at Sentinel migration. Prevents bypass via process restart.</w:t>
            </w:r>
          </w:p>
        </w:tc>
      </w:tr>
    </w:tbl>
    <w:p>
      <w:r>
        <w:br w:type="page"/>
      </w:r>
    </w:p>
    <w:p>
      <w:pPr>
        <w:spacing w:after="80" w:before="320"/>
      </w:pPr>
      <w:r>
        <w:rPr>
          <w:rFonts w:ascii="Arial" w:cs="Arial" w:eastAsia="Arial" w:hAnsi="Arial"/>
          <w:b/>
          <w:bCs/>
          <w:color w:val="FFFFFF"/>
          <w:sz w:val="18"/>
          <w:szCs w:val="18"/>
          <w:shd w:fill="C0392B" w:val="clear"/>
        </w:rPr>
        <w:t xml:space="preserve">  SECTION 7 — RISK MATRIX  </w:t>
      </w:r>
    </w:p>
    <w:p>
      <w:pPr>
        <w:pStyle w:val="Heading1"/>
        <w:spacing w:after="160" w:before="400"/>
      </w:pPr>
      <w:r>
        <w:rPr>
          <w:rFonts w:ascii="Arial" w:cs="Arial" w:eastAsia="Arial" w:hAnsi="Arial"/>
          <w:b/>
          <w:bCs/>
          <w:color w:val="1B3A6B"/>
          <w:sz w:val="36"/>
          <w:szCs w:val="36"/>
        </w:rPr>
        <w:t xml:space="preserve">7. Enterprise Risk Matrix</w:t>
      </w:r>
    </w:p>
    <w:p>
      <w:pPr>
        <w:pBdr>
          <w:bottom w:val="single" w:color="C0392B" w:sz="8" w:space="1"/>
        </w:pBdr>
        <w:spacing w:after="160"/>
      </w:pPr>
    </w:p>
    <w:p>
      <w:pPr>
        <w:spacing w:after="120" w:before="0"/>
        <w:jc w:val="left"/>
      </w:pPr>
      <w:r>
        <w:rPr>
          <w:rFonts w:ascii="Arial" w:cs="Arial" w:eastAsia="Arial" w:hAnsi="Arial"/>
          <w:b w:val="false"/>
          <w:bCs w:val="false"/>
          <w:i w:val="false"/>
          <w:iCs w:val="false"/>
          <w:color w:val="1A1A2E"/>
          <w:sz w:val="22"/>
          <w:szCs w:val="22"/>
        </w:rPr>
        <w:t xml:space="preserve">This matrix provides a comprehensive view of all identified risks facing BarPass Technologies, Inc. as of Q2 2026. The matrix is sorted by severity level (Critical → Low) and is designed to guide resource allocation and investor due diligence.</w:t>
      </w:r>
    </w:p>
    <w:p>
      <w:pPr>
        <w:spacing w:after="120"/>
      </w:pP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tcBorders>
              <w:top w:val="none"/>
              <w:left w:val="single" w:color="2E75B6" w:sz="16"/>
              <w:bottom w:val="none"/>
              <w:right w:val="none"/>
            </w:tcBorders>
            <w:shd w:fill="EBF2FA" w:val="clear"/>
            <w:tcMar>
              <w:top w:type="dxa" w:w="100"/>
              <w:left w:type="dxa" w:w="160"/>
              <w:bottom w:type="dxa" w:w="100"/>
              <w:right w:type="dxa" w:w="160"/>
            </w:tcMar>
          </w:tcPr>
          <w:p>
            <w:pPr>
              <w:spacing w:after="0"/>
            </w:pPr>
            <w:r>
              <w:rPr>
                <w:rFonts w:ascii="Arial" w:cs="Arial" w:eastAsia="Arial" w:hAnsi="Arial"/>
                <w:b/>
                <w:bCs/>
                <w:color w:val="2E75B6"/>
                <w:sz w:val="22"/>
                <w:szCs w:val="22"/>
              </w:rPr>
              <w:t xml:space="preserve">ℹ  </w:t>
            </w:r>
            <w:r>
              <w:rPr>
                <w:rFonts w:ascii="Arial" w:cs="Arial" w:eastAsia="Arial" w:hAnsi="Arial"/>
                <w:color w:val="1A1A2E"/>
                <w:sz w:val="22"/>
                <w:szCs w:val="22"/>
              </w:rPr>
              <w:t xml:space="preserve">Risk matrix must be reviewed and updated semi-annually (April and October) by the CTO + Legal Counsel + CEO. Any new material risk must trigger an interim review and board notification.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2660"/>
      </w:tblGrid>
      <w:tr>
        <w:trPr>
          <w:tblHeader/>
        </w:trPr>
        <w:tc>
          <w:tcPr>
            <w:tcW w:type="dxa" w:w="2800"/>
            <w:tcBorders>
              <w:top w:val="single" w:color="BDC3C7" w:sz="2"/>
              <w:left w:val="single" w:color="BDC3C7" w:sz="2"/>
              <w:bottom w:val="single" w:color="BDC3C7" w:sz="2"/>
              <w:right w:val="single" w:color="BDC3C7" w:sz="2"/>
            </w:tcBorders>
            <w:shd w:fill="1B3A6B" w:val="clear"/>
            <w:tcMar>
              <w:top w:type="dxa" w:w="80"/>
              <w:left w:type="dxa" w:w="100"/>
              <w:bottom w:type="dxa" w:w="80"/>
              <w:right w:type="dxa" w:w="100"/>
            </w:tcMar>
            <w:vAlign w:val="center"/>
          </w:tcPr>
          <w:p>
            <w:pPr>
              <w:spacing w:after="0"/>
            </w:pPr>
            <w:r>
              <w:rPr>
                <w:rFonts w:ascii="Arial" w:cs="Arial" w:eastAsia="Arial" w:hAnsi="Arial"/>
                <w:b/>
                <w:bCs/>
                <w:color w:val="FFFFFF"/>
                <w:sz w:val="18"/>
                <w:szCs w:val="18"/>
              </w:rPr>
              <w:t xml:space="preserve">Tipo de Riesgo</w:t>
            </w:r>
          </w:p>
        </w:tc>
        <w:tc>
          <w:tcPr>
            <w:tcW w:type="dxa" w:w="1300"/>
            <w:tcBorders>
              <w:top w:val="single" w:color="BDC3C7" w:sz="2"/>
              <w:left w:val="single" w:color="BDC3C7" w:sz="2"/>
              <w:bottom w:val="single" w:color="BDC3C7" w:sz="2"/>
              <w:right w:val="single" w:color="BDC3C7" w:sz="2"/>
            </w:tcBorders>
            <w:shd w:fill="1B3A6B" w:val="clear"/>
            <w:tcMar>
              <w:top w:type="dxa" w:w="80"/>
              <w:left w:type="dxa" w:w="100"/>
              <w:bottom w:type="dxa" w:w="80"/>
              <w:right w:type="dxa" w:w="100"/>
            </w:tcMar>
            <w:vAlign w:val="center"/>
          </w:tcPr>
          <w:p>
            <w:pPr>
              <w:spacing w:after="0"/>
            </w:pPr>
            <w:r>
              <w:rPr>
                <w:rFonts w:ascii="Arial" w:cs="Arial" w:eastAsia="Arial" w:hAnsi="Arial"/>
                <w:b/>
                <w:bCs/>
                <w:color w:val="FFFFFF"/>
                <w:sz w:val="18"/>
                <w:szCs w:val="18"/>
              </w:rPr>
              <w:t xml:space="preserve">Probabilidad</w:t>
            </w:r>
          </w:p>
        </w:tc>
        <w:tc>
          <w:tcPr>
            <w:tcW w:type="dxa" w:w="1300"/>
            <w:tcBorders>
              <w:top w:val="single" w:color="BDC3C7" w:sz="2"/>
              <w:left w:val="single" w:color="BDC3C7" w:sz="2"/>
              <w:bottom w:val="single" w:color="BDC3C7" w:sz="2"/>
              <w:right w:val="single" w:color="BDC3C7" w:sz="2"/>
            </w:tcBorders>
            <w:shd w:fill="1B3A6B" w:val="clear"/>
            <w:tcMar>
              <w:top w:type="dxa" w:w="80"/>
              <w:left w:type="dxa" w:w="100"/>
              <w:bottom w:type="dxa" w:w="80"/>
              <w:right w:type="dxa" w:w="100"/>
            </w:tcMar>
            <w:vAlign w:val="center"/>
          </w:tcPr>
          <w:p>
            <w:pPr>
              <w:spacing w:after="0"/>
            </w:pPr>
            <w:r>
              <w:rPr>
                <w:rFonts w:ascii="Arial" w:cs="Arial" w:eastAsia="Arial" w:hAnsi="Arial"/>
                <w:b/>
                <w:bCs/>
                <w:color w:val="FFFFFF"/>
                <w:sz w:val="18"/>
                <w:szCs w:val="18"/>
              </w:rPr>
              <w:t xml:space="preserve">Impacto</w:t>
            </w:r>
          </w:p>
        </w:tc>
        <w:tc>
          <w:tcPr>
            <w:tcW w:type="dxa" w:w="1300"/>
            <w:tcBorders>
              <w:top w:val="single" w:color="BDC3C7" w:sz="2"/>
              <w:left w:val="single" w:color="BDC3C7" w:sz="2"/>
              <w:bottom w:val="single" w:color="BDC3C7" w:sz="2"/>
              <w:right w:val="single" w:color="BDC3C7" w:sz="2"/>
            </w:tcBorders>
            <w:shd w:fill="1B3A6B" w:val="clear"/>
            <w:tcMar>
              <w:top w:type="dxa" w:w="80"/>
              <w:left w:type="dxa" w:w="100"/>
              <w:bottom w:type="dxa" w:w="80"/>
              <w:right w:type="dxa" w:w="100"/>
            </w:tcMar>
            <w:vAlign w:val="center"/>
          </w:tcPr>
          <w:p>
            <w:pPr>
              <w:spacing w:after="0"/>
            </w:pPr>
            <w:r>
              <w:rPr>
                <w:rFonts w:ascii="Arial" w:cs="Arial" w:eastAsia="Arial" w:hAnsi="Arial"/>
                <w:b/>
                <w:bCs/>
                <w:color w:val="FFFFFF"/>
                <w:sz w:val="18"/>
                <w:szCs w:val="18"/>
              </w:rPr>
              <w:t xml:space="preserve">Severidad</w:t>
            </w:r>
          </w:p>
        </w:tc>
        <w:tc>
          <w:tcPr>
            <w:tcW w:type="dxa" w:w="2660"/>
            <w:tcBorders>
              <w:top w:val="single" w:color="BDC3C7" w:sz="2"/>
              <w:left w:val="single" w:color="BDC3C7" w:sz="2"/>
              <w:bottom w:val="single" w:color="BDC3C7" w:sz="2"/>
              <w:right w:val="single" w:color="BDC3C7" w:sz="2"/>
            </w:tcBorders>
            <w:shd w:fill="1B3A6B" w:val="clear"/>
            <w:tcMar>
              <w:top w:type="dxa" w:w="80"/>
              <w:left w:type="dxa" w:w="100"/>
              <w:bottom w:type="dxa" w:w="80"/>
              <w:right w:type="dxa" w:w="100"/>
            </w:tcMar>
            <w:vAlign w:val="center"/>
          </w:tcPr>
          <w:p>
            <w:pPr>
              <w:spacing w:after="0"/>
            </w:pPr>
            <w:r>
              <w:rPr>
                <w:rFonts w:ascii="Arial" w:cs="Arial" w:eastAsia="Arial" w:hAnsi="Arial"/>
                <w:b/>
                <w:bCs/>
                <w:color w:val="FFFFFF"/>
                <w:sz w:val="18"/>
                <w:szCs w:val="18"/>
              </w:rPr>
              <w:t xml:space="preserve">Estrategia de Mitigación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Refund Storm — ola masiva de reembolsos fraudulentos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Media (15%)</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Muy Alto</w:t>
            </w:r>
          </w:p>
        </w:tc>
        <w:tc>
          <w:tcPr>
            <w:tcW w:type="dxa" w:w="1300"/>
            <w:tcBorders>
              <w:top w:val="single" w:color="BDC3C7" w:sz="1"/>
              <w:left w:val="single" w:color="BDC3C7" w:sz="1"/>
              <w:bottom w:val="single" w:color="BDC3C7" w:sz="1"/>
              <w:right w:val="single" w:color="BDC3C7" w:sz="1"/>
            </w:tcBorders>
            <w:shd w:fill="FDEDEC" w:val="clear"/>
            <w:tcMar>
              <w:top w:type="dxa" w:w="80"/>
              <w:left w:type="dxa" w:w="100"/>
              <w:bottom w:type="dxa" w:w="80"/>
              <w:right w:type="dxa" w:w="100"/>
            </w:tcMar>
            <w:vAlign w:val="center"/>
          </w:tcPr>
          <w:p>
            <w:pPr>
              <w:spacing w:after="0"/>
            </w:pPr>
            <w:r>
              <w:rPr>
                <w:rFonts w:ascii="Arial" w:cs="Arial" w:eastAsia="Arial" w:hAnsi="Arial"/>
                <w:b/>
                <w:bCs/>
                <w:color w:val="C0392B"/>
                <w:sz w:val="20"/>
                <w:szCs w:val="20"/>
              </w:rPr>
              <w:t xml:space="preserve">CRÍTICO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Cap automático $500/día/venue, freeze en &gt;5 refunds/hora, alerta inmediata al owner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Breach de datos de clientes (biometría/PII)</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Baja (5%)</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Catastrófico</w:t>
            </w:r>
          </w:p>
        </w:tc>
        <w:tc>
          <w:tcPr>
            <w:tcW w:type="dxa" w:w="1300"/>
            <w:tcBorders>
              <w:top w:val="single" w:color="BDC3C7" w:sz="1"/>
              <w:left w:val="single" w:color="BDC3C7" w:sz="1"/>
              <w:bottom w:val="single" w:color="BDC3C7" w:sz="1"/>
              <w:right w:val="single" w:color="BDC3C7" w:sz="1"/>
            </w:tcBorders>
            <w:shd w:fill="FDEDEC" w:val="clear"/>
            <w:tcMar>
              <w:top w:type="dxa" w:w="80"/>
              <w:left w:type="dxa" w:w="100"/>
              <w:bottom w:type="dxa" w:w="80"/>
              <w:right w:type="dxa" w:w="100"/>
            </w:tcMar>
            <w:vAlign w:val="center"/>
          </w:tcPr>
          <w:p>
            <w:pPr>
              <w:spacing w:after="0"/>
            </w:pPr>
            <w:r>
              <w:rPr>
                <w:rFonts w:ascii="Arial" w:cs="Arial" w:eastAsia="Arial" w:hAnsi="Arial"/>
                <w:b/>
                <w:bCs/>
                <w:color w:val="C0392B"/>
                <w:sz w:val="20"/>
                <w:szCs w:val="20"/>
              </w:rPr>
              <w:t xml:space="preserve">CRÍTICO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Solo vectores matemáticos almacenados, cifrado AES-256, respuesta &lt;72h bajo GDPR/CCPA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Fraude interno de bartender (void abuse)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Media (20%)</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Alto</w:t>
            </w:r>
          </w:p>
        </w:tc>
        <w:tc>
          <w:tcPr>
            <w:tcW w:type="dxa" w:w="1300"/>
            <w:tcBorders>
              <w:top w:val="single" w:color="BDC3C7" w:sz="1"/>
              <w:left w:val="single" w:color="BDC3C7" w:sz="1"/>
              <w:bottom w:val="single" w:color="BDC3C7" w:sz="1"/>
              <w:right w:val="single" w:color="BDC3C7" w:sz="1"/>
            </w:tcBorders>
            <w:shd w:fill="FEF9E7" w:val="clear"/>
            <w:tcMar>
              <w:top w:type="dxa" w:w="80"/>
              <w:left w:type="dxa" w:w="100"/>
              <w:bottom w:type="dxa" w:w="80"/>
              <w:right w:type="dxa" w:w="100"/>
            </w:tcMar>
            <w:vAlign w:val="center"/>
          </w:tcPr>
          <w:p>
            <w:pPr>
              <w:spacing w:after="0"/>
            </w:pPr>
            <w:r>
              <w:rPr>
                <w:rFonts w:ascii="Arial" w:cs="Arial" w:eastAsia="Arial" w:hAnsi="Arial"/>
                <w:b/>
                <w:bCs/>
                <w:color w:val="D35400"/>
                <w:sz w:val="20"/>
                <w:szCs w:val="20"/>
              </w:rPr>
              <w:t xml:space="preserve">ALTO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PIN dual requerido, audit log inmutable, alerta por voids &gt; 3/hora por empleado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Falla técnica del sistema en hora pico</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Baja (8%)</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Alto</w:t>
            </w:r>
          </w:p>
        </w:tc>
        <w:tc>
          <w:tcPr>
            <w:tcW w:type="dxa" w:w="1300"/>
            <w:tcBorders>
              <w:top w:val="single" w:color="BDC3C7" w:sz="1"/>
              <w:left w:val="single" w:color="BDC3C7" w:sz="1"/>
              <w:bottom w:val="single" w:color="BDC3C7" w:sz="1"/>
              <w:right w:val="single" w:color="BDC3C7" w:sz="1"/>
            </w:tcBorders>
            <w:shd w:fill="FEF9E7" w:val="clear"/>
            <w:tcMar>
              <w:top w:type="dxa" w:w="80"/>
              <w:left w:type="dxa" w:w="100"/>
              <w:bottom w:type="dxa" w:w="80"/>
              <w:right w:type="dxa" w:w="100"/>
            </w:tcMar>
            <w:vAlign w:val="center"/>
          </w:tcPr>
          <w:p>
            <w:pPr>
              <w:spacing w:after="0"/>
            </w:pPr>
            <w:r>
              <w:rPr>
                <w:rFonts w:ascii="Arial" w:cs="Arial" w:eastAsia="Arial" w:hAnsi="Arial"/>
                <w:b/>
                <w:bCs/>
                <w:color w:val="D35400"/>
                <w:sz w:val="20"/>
                <w:szCs w:val="20"/>
              </w:rPr>
              <w:t xml:space="preserve">ALTO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Modo offline SQLite 4h, Redis Sentinel, SLA 99.9%, runbook de failover documentado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Incumplimiento de ley FDBR/BIPA (biometría)</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Media (12%)</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Alto</w:t>
            </w:r>
          </w:p>
        </w:tc>
        <w:tc>
          <w:tcPr>
            <w:tcW w:type="dxa" w:w="1300"/>
            <w:tcBorders>
              <w:top w:val="single" w:color="BDC3C7" w:sz="1"/>
              <w:left w:val="single" w:color="BDC3C7" w:sz="1"/>
              <w:bottom w:val="single" w:color="BDC3C7" w:sz="1"/>
              <w:right w:val="single" w:color="BDC3C7" w:sz="1"/>
            </w:tcBorders>
            <w:shd w:fill="FEF9E7" w:val="clear"/>
            <w:tcMar>
              <w:top w:type="dxa" w:w="80"/>
              <w:left w:type="dxa" w:w="100"/>
              <w:bottom w:type="dxa" w:w="80"/>
              <w:right w:type="dxa" w:w="100"/>
            </w:tcMar>
            <w:vAlign w:val="center"/>
          </w:tcPr>
          <w:p>
            <w:pPr>
              <w:spacing w:after="0"/>
            </w:pPr>
            <w:r>
              <w:rPr>
                <w:rFonts w:ascii="Arial" w:cs="Arial" w:eastAsia="Arial" w:hAnsi="Arial"/>
                <w:b/>
                <w:bCs/>
                <w:color w:val="D35400"/>
                <w:sz w:val="20"/>
                <w:szCs w:val="20"/>
              </w:rPr>
              <w:t xml:space="preserve">ALTO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Consentimiento explícito previo al escaneo, derecho a eliminación, no retención de fotos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Chargeback dispute por cliente (no reconoce cobro)</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Media-Alta (25%)</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Medio</w:t>
            </w:r>
          </w:p>
        </w:tc>
        <w:tc>
          <w:tcPr>
            <w:tcW w:type="dxa" w:w="1300"/>
            <w:tcBorders>
              <w:top w:val="single" w:color="BDC3C7" w:sz="1"/>
              <w:left w:val="single" w:color="BDC3C7" w:sz="1"/>
              <w:bottom w:val="single" w:color="BDC3C7" w:sz="1"/>
              <w:right w:val="single" w:color="BDC3C7" w:sz="1"/>
            </w:tcBorders>
            <w:shd w:fill="EBF2FA" w:val="clear"/>
            <w:tcMar>
              <w:top w:type="dxa" w:w="80"/>
              <w:left w:type="dxa" w:w="100"/>
              <w:bottom w:type="dxa" w:w="80"/>
              <w:right w:type="dxa" w:w="100"/>
            </w:tcMar>
            <w:vAlign w:val="center"/>
          </w:tcPr>
          <w:p>
            <w:pPr>
              <w:spacing w:after="0"/>
            </w:pPr>
            <w:r>
              <w:rPr>
                <w:rFonts w:ascii="Arial" w:cs="Arial" w:eastAsia="Arial" w:hAnsi="Arial"/>
                <w:b/>
                <w:bCs/>
                <w:color w:val="2E75B6"/>
                <w:sz w:val="20"/>
                <w:szCs w:val="20"/>
              </w:rPr>
              <w:t xml:space="preserve">MEDIO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Receipt digital inmediato, logs de transacción auditados, respuesta en &lt;72h con evidencia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Pérdida o daño del hardware (iPad) en venue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Media (18%)</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Medio</w:t>
            </w:r>
          </w:p>
        </w:tc>
        <w:tc>
          <w:tcPr>
            <w:tcW w:type="dxa" w:w="1300"/>
            <w:tcBorders>
              <w:top w:val="single" w:color="BDC3C7" w:sz="1"/>
              <w:left w:val="single" w:color="BDC3C7" w:sz="1"/>
              <w:bottom w:val="single" w:color="BDC3C7" w:sz="1"/>
              <w:right w:val="single" w:color="BDC3C7" w:sz="1"/>
            </w:tcBorders>
            <w:shd w:fill="EBF2FA" w:val="clear"/>
            <w:tcMar>
              <w:top w:type="dxa" w:w="80"/>
              <w:left w:type="dxa" w:w="100"/>
              <w:bottom w:type="dxa" w:w="80"/>
              <w:right w:type="dxa" w:w="100"/>
            </w:tcMar>
            <w:vAlign w:val="center"/>
          </w:tcPr>
          <w:p>
            <w:pPr>
              <w:spacing w:after="0"/>
            </w:pPr>
            <w:r>
              <w:rPr>
                <w:rFonts w:ascii="Arial" w:cs="Arial" w:eastAsia="Arial" w:hAnsi="Arial"/>
                <w:b/>
                <w:bCs/>
                <w:color w:val="2E75B6"/>
                <w:sz w:val="20"/>
                <w:szCs w:val="20"/>
              </w:rPr>
              <w:t xml:space="preserve">MEDIO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Contrato de comodato firmado, depósito de seguridad, seguro requerido en contrato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Incumplimiento PCI DSS — manejo inseguro de tarjetas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Muy Baja (2%)</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Catastrófico</w:t>
            </w:r>
          </w:p>
        </w:tc>
        <w:tc>
          <w:tcPr>
            <w:tcW w:type="dxa" w:w="1300"/>
            <w:tcBorders>
              <w:top w:val="single" w:color="BDC3C7" w:sz="1"/>
              <w:left w:val="single" w:color="BDC3C7" w:sz="1"/>
              <w:bottom w:val="single" w:color="BDC3C7" w:sz="1"/>
              <w:right w:val="single" w:color="BDC3C7" w:sz="1"/>
            </w:tcBorders>
            <w:shd w:fill="FEF9E7" w:val="clear"/>
            <w:tcMar>
              <w:top w:type="dxa" w:w="80"/>
              <w:left w:type="dxa" w:w="100"/>
              <w:bottom w:type="dxa" w:w="80"/>
              <w:right w:type="dxa" w:w="100"/>
            </w:tcMar>
            <w:vAlign w:val="center"/>
          </w:tcPr>
          <w:p>
            <w:pPr>
              <w:spacing w:after="0"/>
            </w:pPr>
            <w:r>
              <w:rPr>
                <w:rFonts w:ascii="Arial" w:cs="Arial" w:eastAsia="Arial" w:hAnsi="Arial"/>
                <w:b/>
                <w:bCs/>
                <w:color w:val="D35400"/>
                <w:sz w:val="20"/>
                <w:szCs w:val="20"/>
              </w:rPr>
              <w:t xml:space="preserve">ALTO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Delegación total a Stripe Terminal P2PE, clasificación SAQ P2PE, BarPass nunca toca PAN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Multa por vender a menores (dram shop liability)</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Baja (5%)</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Muy Alto</w:t>
            </w:r>
          </w:p>
        </w:tc>
        <w:tc>
          <w:tcPr>
            <w:tcW w:type="dxa" w:w="1300"/>
            <w:tcBorders>
              <w:top w:val="single" w:color="BDC3C7" w:sz="1"/>
              <w:left w:val="single" w:color="BDC3C7" w:sz="1"/>
              <w:bottom w:val="single" w:color="BDC3C7" w:sz="1"/>
              <w:right w:val="single" w:color="BDC3C7" w:sz="1"/>
            </w:tcBorders>
            <w:shd w:fill="FEF9E7" w:val="clear"/>
            <w:tcMar>
              <w:top w:type="dxa" w:w="80"/>
              <w:left w:type="dxa" w:w="100"/>
              <w:bottom w:type="dxa" w:w="80"/>
              <w:right w:type="dxa" w:w="100"/>
            </w:tcMar>
            <w:vAlign w:val="center"/>
          </w:tcPr>
          <w:p>
            <w:pPr>
              <w:spacing w:after="0"/>
            </w:pPr>
            <w:r>
              <w:rPr>
                <w:rFonts w:ascii="Arial" w:cs="Arial" w:eastAsia="Arial" w:hAnsi="Arial"/>
                <w:b/>
                <w:bCs/>
                <w:color w:val="D35400"/>
                <w:sz w:val="20"/>
                <w:szCs w:val="20"/>
              </w:rPr>
              <w:t xml:space="preserve">ALTO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Verificación biométrica obligatoria, audit log de cada escaneo, indemnización en contrato con venue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Incumplimiento de CCPA/GDPR — solicitud de eliminación</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Media (15%)</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Medio</w:t>
            </w:r>
          </w:p>
        </w:tc>
        <w:tc>
          <w:tcPr>
            <w:tcW w:type="dxa" w:w="1300"/>
            <w:tcBorders>
              <w:top w:val="single" w:color="BDC3C7" w:sz="1"/>
              <w:left w:val="single" w:color="BDC3C7" w:sz="1"/>
              <w:bottom w:val="single" w:color="BDC3C7" w:sz="1"/>
              <w:right w:val="single" w:color="BDC3C7" w:sz="1"/>
            </w:tcBorders>
            <w:shd w:fill="EBF2FA" w:val="clear"/>
            <w:tcMar>
              <w:top w:type="dxa" w:w="80"/>
              <w:left w:type="dxa" w:w="100"/>
              <w:bottom w:type="dxa" w:w="80"/>
              <w:right w:type="dxa" w:w="100"/>
            </w:tcMar>
            <w:vAlign w:val="center"/>
          </w:tcPr>
          <w:p>
            <w:pPr>
              <w:spacing w:after="0"/>
            </w:pPr>
            <w:r>
              <w:rPr>
                <w:rFonts w:ascii="Arial" w:cs="Arial" w:eastAsia="Arial" w:hAnsi="Arial"/>
                <w:b/>
                <w:bCs/>
                <w:color w:val="2E75B6"/>
                <w:sz w:val="20"/>
                <w:szCs w:val="20"/>
              </w:rPr>
              <w:t xml:space="preserve">MEDIO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Pipeline de eliminación automatizado en &lt;30 días, registro de solicitudes, DPO designado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Single point of failure — Redis sin cluster</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Media (20%)</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Alto</w:t>
            </w:r>
          </w:p>
        </w:tc>
        <w:tc>
          <w:tcPr>
            <w:tcW w:type="dxa" w:w="1300"/>
            <w:tcBorders>
              <w:top w:val="single" w:color="BDC3C7" w:sz="1"/>
              <w:left w:val="single" w:color="BDC3C7" w:sz="1"/>
              <w:bottom w:val="single" w:color="BDC3C7" w:sz="1"/>
              <w:right w:val="single" w:color="BDC3C7" w:sz="1"/>
            </w:tcBorders>
            <w:shd w:fill="FEF9E7" w:val="clear"/>
            <w:tcMar>
              <w:top w:type="dxa" w:w="80"/>
              <w:left w:type="dxa" w:w="100"/>
              <w:bottom w:type="dxa" w:w="80"/>
              <w:right w:type="dxa" w:w="100"/>
            </w:tcMar>
            <w:vAlign w:val="center"/>
          </w:tcPr>
          <w:p>
            <w:pPr>
              <w:spacing w:after="0"/>
            </w:pPr>
            <w:r>
              <w:rPr>
                <w:rFonts w:ascii="Arial" w:cs="Arial" w:eastAsia="Arial" w:hAnsi="Arial"/>
                <w:b/>
                <w:bCs/>
                <w:color w:val="D35400"/>
                <w:sz w:val="20"/>
                <w:szCs w:val="20"/>
              </w:rPr>
              <w:t xml:space="preserve">ALTO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Migrar a Redis Sentinel en 10+ bares, Redis Cluster en 30+ bares, health checks cada 30s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Fraude de ID (documento falsificado)</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Baja (8%)</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Medio</w:t>
            </w:r>
          </w:p>
        </w:tc>
        <w:tc>
          <w:tcPr>
            <w:tcW w:type="dxa" w:w="1300"/>
            <w:tcBorders>
              <w:top w:val="single" w:color="BDC3C7" w:sz="1"/>
              <w:left w:val="single" w:color="BDC3C7" w:sz="1"/>
              <w:bottom w:val="single" w:color="BDC3C7" w:sz="1"/>
              <w:right w:val="single" w:color="BDC3C7" w:sz="1"/>
            </w:tcBorders>
            <w:shd w:fill="EBF2FA" w:val="clear"/>
            <w:tcMar>
              <w:top w:type="dxa" w:w="80"/>
              <w:left w:type="dxa" w:w="100"/>
              <w:bottom w:type="dxa" w:w="80"/>
              <w:right w:type="dxa" w:w="100"/>
            </w:tcMar>
            <w:vAlign w:val="center"/>
          </w:tcPr>
          <w:p>
            <w:pPr>
              <w:spacing w:after="0"/>
            </w:pPr>
            <w:r>
              <w:rPr>
                <w:rFonts w:ascii="Arial" w:cs="Arial" w:eastAsia="Arial" w:hAnsi="Arial"/>
                <w:b/>
                <w:bCs/>
                <w:color w:val="2E75B6"/>
                <w:sz w:val="20"/>
                <w:szCs w:val="20"/>
              </w:rPr>
              <w:t xml:space="preserve">MEDIO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6 capas de validación AAMVA, face match biométrico 88%+, audit log de cada verificación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Violación de dram shop law por falta de registro</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Baja (6%)</w:t>
            </w:r>
          </w:p>
        </w:tc>
        <w:tc>
          <w:tcPr>
            <w:tcW w:type="dxa" w:w="13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Muy Alto</w:t>
            </w:r>
          </w:p>
        </w:tc>
        <w:tc>
          <w:tcPr>
            <w:tcW w:type="dxa" w:w="1300"/>
            <w:tcBorders>
              <w:top w:val="single" w:color="BDC3C7" w:sz="1"/>
              <w:left w:val="single" w:color="BDC3C7" w:sz="1"/>
              <w:bottom w:val="single" w:color="BDC3C7" w:sz="1"/>
              <w:right w:val="single" w:color="BDC3C7" w:sz="1"/>
            </w:tcBorders>
            <w:shd w:fill="FEF9E7" w:val="clear"/>
            <w:tcMar>
              <w:top w:type="dxa" w:w="80"/>
              <w:left w:type="dxa" w:w="100"/>
              <w:bottom w:type="dxa" w:w="80"/>
              <w:right w:type="dxa" w:w="100"/>
            </w:tcMar>
            <w:vAlign w:val="center"/>
          </w:tcPr>
          <w:p>
            <w:pPr>
              <w:spacing w:after="0"/>
            </w:pPr>
            <w:r>
              <w:rPr>
                <w:rFonts w:ascii="Arial" w:cs="Arial" w:eastAsia="Arial" w:hAnsi="Arial"/>
                <w:b/>
                <w:bCs/>
                <w:color w:val="D35400"/>
                <w:sz w:val="20"/>
                <w:szCs w:val="20"/>
              </w:rPr>
              <w:t xml:space="preserve">ALTO</w:t>
            </w:r>
          </w:p>
        </w:tc>
        <w:tc>
          <w:tcPr>
            <w:tcW w:type="dxa" w:w="26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vAlign w:val="center"/>
          </w:tcPr>
          <w:p>
            <w:pPr>
              <w:spacing w:after="0"/>
            </w:pPr>
            <w:r>
              <w:rPr>
                <w:rFonts w:ascii="Arial" w:cs="Arial" w:eastAsia="Arial" w:hAnsi="Arial"/>
                <w:b w:val="false"/>
                <w:bCs w:val="false"/>
                <w:color w:val="1A1A2E"/>
                <w:sz w:val="20"/>
                <w:szCs w:val="20"/>
              </w:rPr>
              <w:t xml:space="preserve">Log inmutable de cada escaneo + decisión + timestamp, retención 7 años, disponible en 48h</w:t>
            </w:r>
          </w:p>
        </w:tc>
      </w:tr>
    </w:tbl>
    <w:p>
      <w:pPr>
        <w:spacing w:after="120"/>
      </w:pPr>
    </w:p>
    <w:p>
      <w:pPr>
        <w:pStyle w:val="Heading2"/>
        <w:spacing w:after="120" w:before="320"/>
      </w:pPr>
      <w:r>
        <w:rPr>
          <w:rFonts w:ascii="Arial" w:cs="Arial" w:eastAsia="Arial" w:hAnsi="Arial"/>
          <w:b/>
          <w:bCs/>
          <w:color w:val="2E75B6"/>
          <w:sz w:val="28"/>
          <w:szCs w:val="28"/>
        </w:rPr>
        <w:t xml:space="preserve">7.1 Risk Appetite Statement</w:t>
      </w:r>
    </w:p>
    <w:p>
      <w:pPr>
        <w:spacing w:after="120" w:before="0"/>
        <w:jc w:val="left"/>
      </w:pPr>
      <w:r>
        <w:rPr>
          <w:rFonts w:ascii="Arial" w:cs="Arial" w:eastAsia="Arial" w:hAnsi="Arial"/>
          <w:b w:val="false"/>
          <w:bCs w:val="false"/>
          <w:i w:val="false"/>
          <w:iCs w:val="false"/>
          <w:color w:val="1A1A2E"/>
          <w:sz w:val="22"/>
          <w:szCs w:val="22"/>
        </w:rPr>
        <w:t xml:space="preserve">BarPass Technologies, Inc. adopts the following risk appetite positions: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4800"/>
      </w:tblGrid>
      <w:tr>
        <w:tc>
          <w:tcPr>
            <w:tcW w:type="dxa" w:w="28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Category</w:t>
            </w:r>
          </w:p>
        </w:tc>
        <w:tc>
          <w:tcPr>
            <w:tcW w:type="dxa" w:w="16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Appetite</w:t>
            </w:r>
          </w:p>
        </w:tc>
        <w:tc>
          <w:tcPr>
            <w:tcW w:type="dxa" w:w="48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Data Security / PII Breach</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ZERO TOLERANCE</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Biometric data and customer PII require highest protection. Single breach could be existential.</w:t>
            </w:r>
          </w:p>
        </w:tc>
      </w:tr>
      <w:tr>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Regulatory Compliance (FDBR, DABT, PCI)</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ZERO TOLERANCE</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Operating license and payment processing capability depend on compliance.</w:t>
            </w:r>
          </w:p>
        </w:tc>
      </w:tr>
      <w:tr>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Internal Fraud</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LOW</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Damages platform reputation and customer trust. Controls must prevent, not just detect.</w:t>
            </w:r>
          </w:p>
        </w:tc>
      </w:tr>
      <w:tr>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Technical Downtime</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LOW-MEDIUM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Acceptable during growth phase with offline mode. Must decrease as scale increases.</w:t>
            </w:r>
          </w:p>
        </w:tc>
      </w:tr>
      <w:tr>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Financial Risk (Refunds, Chargebacks)</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MEDIUM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Manageable with proper controls. Impact contained with hard limits and insurance.</w:t>
            </w:r>
          </w:p>
        </w:tc>
      </w:tr>
      <w:tr>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Competitive Risk</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HIGH</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Acceptable — first-mover advantage is the strategy. Speed to market &gt; risk avoidance.</w:t>
            </w:r>
          </w:p>
        </w:tc>
      </w:tr>
    </w:tbl>
    <w:p>
      <w:pPr>
        <w:spacing w:after="120"/>
      </w:pPr>
    </w:p>
    <w:p>
      <w:pPr>
        <w:pStyle w:val="Heading2"/>
        <w:spacing w:after="120" w:before="320"/>
      </w:pPr>
      <w:r>
        <w:rPr>
          <w:rFonts w:ascii="Arial" w:cs="Arial" w:eastAsia="Arial" w:hAnsi="Arial"/>
          <w:b/>
          <w:bCs/>
          <w:color w:val="2E75B6"/>
          <w:sz w:val="28"/>
          <w:szCs w:val="28"/>
        </w:rPr>
        <w:t xml:space="preserve">7.2 Key Regulatory Obligations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960"/>
        <w:gridCol w:w="2200"/>
      </w:tblGrid>
      <w:tr>
        <w:tc>
          <w:tcPr>
            <w:tcW w:type="dxa" w:w="20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Regulation</w:t>
            </w:r>
          </w:p>
        </w:tc>
        <w:tc>
          <w:tcPr>
            <w:tcW w:type="dxa" w:w="12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Jurisdiction</w:t>
            </w:r>
          </w:p>
        </w:tc>
        <w:tc>
          <w:tcPr>
            <w:tcW w:type="dxa" w:w="39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BarPass Obligation</w:t>
            </w:r>
          </w:p>
        </w:tc>
        <w:tc>
          <w:tcPr>
            <w:tcW w:type="dxa" w:w="22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Penalty for Non-Compliance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Florida FDBR (HB 1547)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Florida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Consent before biometric collection, right to deletion, no sale of biometric data</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Up to $50,000 per violation + private right of action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BIPA (if operating in IL)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Illinois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Written policy, consent, no profiting from biometric data, 3-year retention limit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Up to $5,000 per intentional violation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PCI DSS v4.0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Global/Card Networks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SAQ P2PE compliance, annual assessment, no PAN storage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$5,000-$100,000/month + potential card acceptance revocation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CCPA (if CA customers)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California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Privacy policy, right to know/delete/opt-out, no sale of personal info without consent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Up to $7,500 per intentional violation, $2,500 per unintentional</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Florida Dram Shop Act § 768.125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Florida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cannot be held liable as it's not the alcohol vendor. Venue operators must maintain coverage.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Civil liability for venue operator — not BarPass (if T&amp;C properly executed)</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Florida Data Breach Law § 501.171</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Florida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Notify affected individuals within 30 days, notify AG if &gt;500 residents affected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Up to $500,000 civil penalties for violations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COPPA (if under-13 data processed)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Federal</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denies service to minors — no data collected from under-21, designed to prevent under-13 data</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Up to $51,744 per violation</w:t>
            </w:r>
          </w:p>
        </w:tc>
      </w:tr>
    </w:tbl>
    <w:p>
      <w:r>
        <w:br w:type="page"/>
      </w:r>
    </w:p>
    <w:p>
      <w:pPr>
        <w:spacing w:after="80" w:before="320"/>
      </w:pPr>
      <w:r>
        <w:rPr>
          <w:rFonts w:ascii="Arial" w:cs="Arial" w:eastAsia="Arial" w:hAnsi="Arial"/>
          <w:b/>
          <w:bCs/>
          <w:color w:val="FFFFFF"/>
          <w:sz w:val="18"/>
          <w:szCs w:val="18"/>
          <w:shd w:fill="5D6D7E" w:val="clear"/>
        </w:rPr>
        <w:t xml:space="preserve">  APPENDICES  </w:t>
      </w:r>
    </w:p>
    <w:p>
      <w:pPr>
        <w:pStyle w:val="Heading1"/>
        <w:spacing w:after="160" w:before="400"/>
      </w:pPr>
      <w:r>
        <w:rPr>
          <w:rFonts w:ascii="Arial" w:cs="Arial" w:eastAsia="Arial" w:hAnsi="Arial"/>
          <w:b/>
          <w:bCs/>
          <w:color w:val="1B3A6B"/>
          <w:sz w:val="36"/>
          <w:szCs w:val="36"/>
        </w:rPr>
        <w:t xml:space="preserve">Appendices</w:t>
      </w:r>
    </w:p>
    <w:p>
      <w:pPr>
        <w:pBdr>
          <w:bottom w:val="single" w:color="2E75B6" w:sz="8" w:space="1"/>
        </w:pBdr>
        <w:spacing w:after="160"/>
      </w:pPr>
    </w:p>
    <w:p>
      <w:pPr>
        <w:pStyle w:val="Heading2"/>
        <w:spacing w:after="120" w:before="320"/>
      </w:pPr>
      <w:r>
        <w:rPr>
          <w:rFonts w:ascii="Arial" w:cs="Arial" w:eastAsia="Arial" w:hAnsi="Arial"/>
          <w:b/>
          <w:bCs/>
          <w:color w:val="2E75B6"/>
          <w:sz w:val="28"/>
          <w:szCs w:val="28"/>
        </w:rPr>
        <w:t xml:space="preserve">Appendix A — Incident Response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2160"/>
      </w:tblGrid>
      <w:tr>
        <w:tc>
          <w:tcPr>
            <w:tcW w:type="dxa" w:w="21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Incident Type</w:t>
            </w:r>
          </w:p>
        </w:tc>
        <w:tc>
          <w:tcPr>
            <w:tcW w:type="dxa" w:w="21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First 15 Minutes</w:t>
            </w:r>
          </w:p>
        </w:tc>
        <w:tc>
          <w:tcPr>
            <w:tcW w:type="dxa" w:w="28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Escalation Path</w:t>
            </w:r>
          </w:p>
        </w:tc>
        <w:tc>
          <w:tcPr>
            <w:tcW w:type="dxa" w:w="216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Documentation Required</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Data Breach / Suspected Breach</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Isolate affected systems, preserve logs, do NOT delete anything</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CTO → CEO → Legal Counsel → Florida AG (if &gt;500 affected)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Incident log, affected records count, breach timeline</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Refund Storm (RED level)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Automatic freeze activates. Call Venue Owner.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Ops → CTO if &gt;$2,000 total exposure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Full audit log export, employee activity report</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Hardware Loss/Theft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Remote wipe initiated via MDM. Venue files police report.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Ops → send replacement within 48h</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Police report number, inspection photos, comodato penalty invoice</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PCI Suspected Compromise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Immediately contact Stripe fraud team + acquiring bank</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CTO → Legal → PCI Forensic Investigator (PFI) within 24h</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Network logs, Stripe transaction records, remediation plan</w:t>
            </w:r>
          </w:p>
        </w:tc>
      </w:tr>
      <w:tr>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False Positive ID Denial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Venue Manager overrides manually, documents reason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Monthly review of override rate by CTO</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Override log with reason, affected transaction ID</w:t>
            </w:r>
          </w:p>
        </w:tc>
      </w:tr>
    </w:tbl>
    <w:p>
      <w:pPr>
        <w:spacing w:after="120"/>
      </w:pPr>
    </w:p>
    <w:p>
      <w:pPr>
        <w:pStyle w:val="Heading2"/>
        <w:spacing w:after="120" w:before="320"/>
      </w:pPr>
      <w:r>
        <w:rPr>
          <w:rFonts w:ascii="Arial" w:cs="Arial" w:eastAsia="Arial" w:hAnsi="Arial"/>
          <w:b/>
          <w:bCs/>
          <w:color w:val="2E75B6"/>
          <w:sz w:val="28"/>
          <w:szCs w:val="28"/>
        </w:rPr>
        <w:t xml:space="preserve">Appendix B — Key Vendor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Vendor</w:t>
            </w:r>
          </w:p>
        </w:tc>
        <w:tc>
          <w:tcPr>
            <w:tcW w:type="dxa" w:w="360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Service</w:t>
            </w:r>
          </w:p>
        </w:tc>
        <w:tc>
          <w:tcPr>
            <w:tcW w:type="dxa" w:w="43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Emergency Contact</w:t>
            </w:r>
          </w:p>
        </w:tc>
      </w:tr>
      <w:tr>
        <w:tc>
          <w:tcPr>
            <w:tcW w:type="dxa" w:w="14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Stripe, Inc.</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Payment processing, Stripe Terminal</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stripe.com/support — Stripe Critical Issues: escalate through Dashboard</w:t>
            </w:r>
          </w:p>
        </w:tc>
      </w:tr>
      <w:tr>
        <w:tc>
          <w:tcPr>
            <w:tcW w:type="dxa" w:w="14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AWS (Amazon Web Services)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Rekognition biometrics API</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aws.amazon.com/contact-us — Support plan: Business or Enterprise required</w:t>
            </w:r>
          </w:p>
        </w:tc>
      </w:tr>
      <w:tr>
        <w:tc>
          <w:tcPr>
            <w:tcW w:type="dxa" w:w="14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Railway.app</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Infrastructure hosting (API + Redis + DB)</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railway.app/help — Discord community for urgent issues</w:t>
            </w:r>
          </w:p>
        </w:tc>
      </w:tr>
      <w:tr>
        <w:tc>
          <w:tcPr>
            <w:tcW w:type="dxa" w:w="14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Supabase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PostgreSQL database + auth</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supabase.com/support — Priority support requires Pro plan</w:t>
            </w:r>
          </w:p>
        </w:tc>
      </w:tr>
      <w:tr>
        <w:tc>
          <w:tcPr>
            <w:tcW w:type="dxa" w:w="14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Florida DABT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Alcohol licensing enforcement</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(850) 487-1395 — notify immediately if any compliance incident</w:t>
            </w:r>
          </w:p>
        </w:tc>
      </w:tr>
      <w:tr>
        <w:tc>
          <w:tcPr>
            <w:tcW w:type="dxa" w:w="14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Florida Attorney General</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Data breach notification</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myfloridalegal.com — Required notification within 30 days of breach</w:t>
            </w:r>
          </w:p>
        </w:tc>
      </w:tr>
    </w:tbl>
    <w:p>
      <w:pPr>
        <w:spacing w:after="120"/>
      </w:pPr>
    </w:p>
    <w:p>
      <w:pPr>
        <w:pStyle w:val="Heading2"/>
        <w:spacing w:after="120" w:before="320"/>
      </w:pPr>
      <w:r>
        <w:rPr>
          <w:rFonts w:ascii="Arial" w:cs="Arial" w:eastAsia="Arial" w:hAnsi="Arial"/>
          <w:b/>
          <w:bCs/>
          <w:color w:val="2E75B6"/>
          <w:sz w:val="28"/>
          <w:szCs w:val="28"/>
        </w:rPr>
        <w:t xml:space="preserve">Appendix C —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2880"/>
        <w:gridCol w:w="4680"/>
      </w:tblGrid>
      <w:tr>
        <w:tc>
          <w:tcPr>
            <w:tcW w:type="dxa" w:w="72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0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8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Author</w:t>
            </w:r>
          </w:p>
        </w:tc>
        <w:tc>
          <w:tcPr>
            <w:tcW w:type="dxa" w:w="4680"/>
            <w:tcBorders>
              <w:top w:val="single" w:color="BDC3C7" w:sz="1"/>
              <w:left w:val="single" w:color="BDC3C7" w:sz="1"/>
              <w:bottom w:val="single" w:color="BDC3C7" w:sz="1"/>
              <w:right w:val="single" w:color="BDC3C7" w:sz="1"/>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7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1.0</w:t>
            </w:r>
          </w:p>
        </w:tc>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April 2026</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BarPass Legal &amp; Engineering</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Initial production document. Full T&amp;C, Comodato, Risk Matrix, PCI strategy.</w:t>
            </w:r>
          </w:p>
        </w:tc>
      </w:tr>
      <w:tr>
        <w:tc>
          <w:tcPr>
            <w:tcW w:type="dxa" w:w="7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1.1</w:t>
            </w:r>
          </w:p>
        </w:tc>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TBD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To be assigned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Post-legal counsel review. Incorporate Florida Bar attorney feedback.</w:t>
            </w:r>
          </w:p>
        </w:tc>
      </w:tr>
      <w:tr>
        <w:tc>
          <w:tcPr>
            <w:tcW w:type="dxa" w:w="7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2.0</w:t>
            </w:r>
          </w:p>
        </w:tc>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October 2026</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To be assigned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Semi-annual review. Update risk matrix, add any new regulatory requirements.</w:t>
            </w:r>
          </w:p>
        </w:tc>
      </w:tr>
    </w:tbl>
    <w:p>
      <w:pPr>
        <w:spacing w:after="200"/>
      </w:pPr>
    </w:p>
    <w:tbl>
      <w:tblPr>
        <w:tblW w:type="dxa" w:w="9360"/>
        <w:tblBorders>
          <w:top w:val="single" w:color="D35400" w:sz="4"/>
          <w:left w:val="single" w:color="D35400" w:sz="4"/>
          <w:bottom w:val="single" w:color="D35400" w:sz="4"/>
          <w:right w:val="single" w:color="D35400" w:sz="4"/>
          <w:insideH w:val="single" w:color="auto" w:sz="4"/>
          <w:insideV w:val="single" w:color="auto" w:sz="4"/>
        </w:tblBorders>
      </w:tblPr>
      <w:tblGrid>
        <w:gridCol w:w="9360"/>
      </w:tblGrid>
      <w:tr>
        <w:tc>
          <w:tcPr>
            <w:tcW w:type="dxa" w:w="9360"/>
            <w:tcBorders>
              <w:top w:val="none"/>
              <w:left w:val="single" w:color="D35400" w:sz="16"/>
              <w:bottom w:val="none"/>
              <w:right w:val="none"/>
            </w:tcBorders>
            <w:shd w:fill="FEF9E7" w:val="clear"/>
            <w:tcMar>
              <w:top w:type="dxa" w:w="100"/>
              <w:left w:type="dxa" w:w="160"/>
              <w:bottom w:type="dxa" w:w="100"/>
              <w:right w:type="dxa" w:w="160"/>
            </w:tcMar>
          </w:tcPr>
          <w:p>
            <w:pPr>
              <w:spacing w:after="0"/>
            </w:pPr>
            <w:r>
              <w:rPr>
                <w:rFonts w:ascii="Arial" w:cs="Arial" w:eastAsia="Arial" w:hAnsi="Arial"/>
                <w:b/>
                <w:bCs/>
                <w:color w:val="D35400"/>
                <w:sz w:val="22"/>
                <w:szCs w:val="22"/>
              </w:rPr>
              <w:t xml:space="preserve">⚠  </w:t>
            </w:r>
            <w:r>
              <w:rPr>
                <w:rFonts w:ascii="Arial" w:cs="Arial" w:eastAsia="Arial" w:hAnsi="Arial"/>
                <w:color w:val="1A1A2E"/>
                <w:sz w:val="22"/>
                <w:szCs w:val="22"/>
              </w:rPr>
              <w:t xml:space="preserve">DISCLAIMER: This document is prepared for internal use and investor due diligence purposes. It does not constitute legal advice. BarPass Technologies, Inc. must engage qualified Florida Bar licensed legal counsel to review and finalize all binding legal documents before execution. Nothing in this document creates an attorney-client relationship.</w:t>
            </w:r>
          </w:p>
        </w:tc>
      </w:tr>
    </w:tbl>
    <w:p>
      <w:pPr>
        <w:spacing w:after="200"/>
      </w:pPr>
    </w:p>
    <w:p>
      <w:pPr>
        <w:pBdr>
          <w:top w:val="single" w:color="2E75B6" w:sz="4" w:space="2"/>
        </w:pBdr>
        <w:spacing w:after="60" w:before="200"/>
        <w:jc w:val="center"/>
      </w:pPr>
      <w:r>
        <w:rPr>
          <w:rFonts w:ascii="Arial" w:cs="Arial" w:eastAsia="Arial" w:hAnsi="Arial"/>
          <w:color w:val="5D6D7E"/>
          <w:sz w:val="18"/>
          <w:szCs w:val="18"/>
        </w:rPr>
        <w:t xml:space="preserve">BarPass Technologies, Inc.  ·  Miami, Florida  ·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spacing w:after="0" w:before="0"/>
    </w:pPr>
    <w:r>
      <w:rPr>
        <w:rFonts w:ascii="Arial" w:cs="Arial" w:eastAsia="Arial" w:hAnsi="Arial"/>
        <w:color w:val="5D6D7E"/>
        <w:sz w:val="16"/>
        <w:szCs w:val="16"/>
      </w:rPr>
      <w:t xml:space="preserve">Confidential — For Internal Use Only</w:t>
    </w:r>
    <w:r>
      <w:rPr>
        <w:rFonts w:ascii="Arial" w:cs="Arial" w:eastAsia="Arial" w:hAnsi="Arial"/>
        <w:sz w:val="16"/>
        <w:szCs w:val="16"/>
      </w:rPr>
      <w:t xml:space="preserve">	</w:t>
    </w:r>
    <w:r>
      <w:rPr>
        <w:rFonts w:ascii="Arial" w:cs="Arial" w:eastAsia="Arial" w:hAnsi="Arial"/>
        <w:color w:val="5D6D7E"/>
        <w:sz w:val="16"/>
        <w:szCs w:val="16"/>
      </w:rPr>
      <w:t xml:space="preserve">BarPass v1.0 — Florida, USA — 2026</w:t>
    </w:r>
    <w:r>
      <w:rPr>
        <w:rFonts w:ascii="Arial" w:cs="Arial" w:eastAsia="Arial" w:hAnsi="Arial"/>
        <w:sz w:val="16"/>
        <w:szCs w:val="16"/>
      </w:rPr>
      <w:t xml:space="preserve">	</w:t>
    </w:r>
    <w:r>
      <w:rPr>
        <w:rFonts w:ascii="Arial" w:cs="Arial" w:eastAsia="Arial" w:hAnsi="Arial"/>
        <w:color w:val="5D6D7E"/>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b/>
        <w:bCs/>
        <w:color w:val="1B3A6B"/>
        <w:sz w:val="18"/>
        <w:szCs w:val="18"/>
      </w:rPr>
      <w:t xml:space="preserve">BarPass Technologies, Inc.</w:t>
    </w:r>
    <w:r>
      <w:rPr>
        <w:rFonts w:ascii="Arial" w:cs="Arial" w:eastAsia="Arial" w:hAnsi="Arial"/>
        <w:color w:val="5D6D7E"/>
        <w:sz w:val="18"/>
        <w:szCs w:val="18"/>
      </w:rPr>
      <w:t xml:space="preserve">   |   Legal, Risk &amp; Compliance Framework</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2026-04-08T21:55:03.729Z</dcterms:created>
  <dcterms:modified xsi:type="dcterms:W3CDTF">2026-04-08T21:55:03.730Z</dcterms:modified>
</cp:coreProperties>
</file>

<file path=docProps/custom.xml><?xml version="1.0" encoding="utf-8"?>
<Properties xmlns="http://schemas.openxmlformats.org/officeDocument/2006/custom-properties" xmlns:vt="http://schemas.openxmlformats.org/officeDocument/2006/docPropsVTypes"/>
</file>