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35DD" w:rsidRDefault="00EC35DD" w:rsidP="00EC35DD">
      <w:pPr>
        <w:autoSpaceDE w:val="0"/>
        <w:autoSpaceDN w:val="0"/>
        <w:adjustRightInd w:val="0"/>
        <w:jc w:val="center"/>
        <w:rPr>
          <w:rFonts w:cstheme="minorHAnsi"/>
          <w:sz w:val="24"/>
          <w:szCs w:val="24"/>
        </w:rPr>
      </w:pPr>
      <w:r>
        <w:rPr>
          <w:rFonts w:cstheme="minorHAnsi"/>
          <w:noProof/>
          <w:sz w:val="24"/>
          <w:szCs w:val="24"/>
          <w:lang w:val="es-ES" w:eastAsia="es-ES"/>
        </w:rPr>
        <w:drawing>
          <wp:inline distT="0" distB="0" distL="0" distR="0">
            <wp:extent cx="1021278" cy="1021278"/>
            <wp:effectExtent l="0" t="0" r="762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H-fondo-blanco_custom.jpg"/>
                    <pic:cNvPicPr/>
                  </pic:nvPicPr>
                  <pic:blipFill>
                    <a:blip r:embed="rId8">
                      <a:extLst>
                        <a:ext uri="{28A0092B-C50C-407E-A947-70E740481C1C}">
                          <a14:useLocalDpi xmlns:a14="http://schemas.microsoft.com/office/drawing/2010/main" val="0"/>
                        </a:ext>
                      </a:extLst>
                    </a:blip>
                    <a:stretch>
                      <a:fillRect/>
                    </a:stretch>
                  </pic:blipFill>
                  <pic:spPr>
                    <a:xfrm>
                      <a:off x="0" y="0"/>
                      <a:ext cx="1025033" cy="1025033"/>
                    </a:xfrm>
                    <a:prstGeom prst="rect">
                      <a:avLst/>
                    </a:prstGeom>
                  </pic:spPr>
                </pic:pic>
              </a:graphicData>
            </a:graphic>
          </wp:inline>
        </w:drawing>
      </w:r>
    </w:p>
    <w:p w:rsidR="006D091C" w:rsidRPr="00505027" w:rsidRDefault="006D091C" w:rsidP="006D091C">
      <w:pPr>
        <w:spacing w:after="0" w:line="240" w:lineRule="auto"/>
        <w:jc w:val="center"/>
        <w:rPr>
          <w:b/>
          <w:sz w:val="24"/>
          <w:szCs w:val="24"/>
        </w:rPr>
      </w:pPr>
      <w:r w:rsidRPr="00505027">
        <w:rPr>
          <w:b/>
          <w:sz w:val="24"/>
          <w:szCs w:val="24"/>
        </w:rPr>
        <w:t>Universidad Alberto Hurtado</w:t>
      </w:r>
    </w:p>
    <w:p w:rsidR="006D091C" w:rsidRPr="00505027" w:rsidRDefault="006D091C" w:rsidP="006D091C">
      <w:pPr>
        <w:spacing w:after="0" w:line="240" w:lineRule="auto"/>
        <w:jc w:val="center"/>
        <w:rPr>
          <w:b/>
          <w:sz w:val="24"/>
          <w:szCs w:val="24"/>
        </w:rPr>
      </w:pPr>
      <w:r w:rsidRPr="00505027">
        <w:rPr>
          <w:b/>
          <w:sz w:val="24"/>
          <w:szCs w:val="24"/>
        </w:rPr>
        <w:t xml:space="preserve">Facultad </w:t>
      </w:r>
      <w:r w:rsidR="00687CC2">
        <w:rPr>
          <w:b/>
          <w:sz w:val="24"/>
          <w:szCs w:val="24"/>
        </w:rPr>
        <w:t>de Ciencias Sociales</w:t>
      </w:r>
    </w:p>
    <w:p w:rsidR="006D091C" w:rsidRPr="00505027" w:rsidRDefault="006D091C" w:rsidP="006D091C">
      <w:pPr>
        <w:spacing w:after="0" w:line="240" w:lineRule="auto"/>
        <w:jc w:val="center"/>
        <w:rPr>
          <w:b/>
          <w:sz w:val="24"/>
          <w:szCs w:val="24"/>
        </w:rPr>
      </w:pPr>
      <w:r w:rsidRPr="00505027">
        <w:rPr>
          <w:b/>
          <w:sz w:val="24"/>
          <w:szCs w:val="24"/>
        </w:rPr>
        <w:t xml:space="preserve">Carrera </w:t>
      </w:r>
      <w:r w:rsidR="00687CC2">
        <w:rPr>
          <w:b/>
          <w:sz w:val="24"/>
          <w:szCs w:val="24"/>
        </w:rPr>
        <w:t>de Antropología</w:t>
      </w:r>
    </w:p>
    <w:p w:rsidR="006D091C" w:rsidRPr="005551A3" w:rsidRDefault="006D091C" w:rsidP="006D091C">
      <w:pPr>
        <w:spacing w:after="0" w:line="240" w:lineRule="auto"/>
        <w:jc w:val="both"/>
        <w:rPr>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2551"/>
        <w:gridCol w:w="2633"/>
      </w:tblGrid>
      <w:tr w:rsidR="00440716" w:rsidRPr="00440716" w:rsidTr="00740F28">
        <w:tc>
          <w:tcPr>
            <w:tcW w:w="3794" w:type="dxa"/>
          </w:tcPr>
          <w:p w:rsidR="00440716" w:rsidRPr="00440716" w:rsidRDefault="00440716" w:rsidP="00975FFE">
            <w:pPr>
              <w:jc w:val="both"/>
              <w:rPr>
                <w:b/>
                <w:sz w:val="24"/>
                <w:szCs w:val="24"/>
              </w:rPr>
            </w:pPr>
            <w:r w:rsidRPr="00440716">
              <w:rPr>
                <w:b/>
                <w:sz w:val="24"/>
                <w:szCs w:val="24"/>
              </w:rPr>
              <w:t>Nombre de la actividad curricular:</w:t>
            </w:r>
            <w:r w:rsidR="00A53181">
              <w:rPr>
                <w:b/>
                <w:sz w:val="24"/>
                <w:szCs w:val="24"/>
              </w:rPr>
              <w:t xml:space="preserve"> </w:t>
            </w:r>
          </w:p>
        </w:tc>
        <w:tc>
          <w:tcPr>
            <w:tcW w:w="5184" w:type="dxa"/>
            <w:gridSpan w:val="2"/>
          </w:tcPr>
          <w:p w:rsidR="00440716" w:rsidRPr="00A53181" w:rsidRDefault="00A53181" w:rsidP="00975FFE">
            <w:pPr>
              <w:jc w:val="both"/>
              <w:rPr>
                <w:bCs/>
                <w:sz w:val="24"/>
                <w:szCs w:val="24"/>
              </w:rPr>
            </w:pPr>
            <w:r w:rsidRPr="00A53181">
              <w:rPr>
                <w:bCs/>
                <w:sz w:val="24"/>
                <w:szCs w:val="24"/>
              </w:rPr>
              <w:t>Antropología y Sociología de la Música y el Sonido</w:t>
            </w:r>
            <w:r>
              <w:rPr>
                <w:bCs/>
                <w:sz w:val="24"/>
                <w:szCs w:val="24"/>
              </w:rPr>
              <w:t>.</w:t>
            </w:r>
          </w:p>
        </w:tc>
      </w:tr>
      <w:tr w:rsidR="00440716" w:rsidRPr="00440716" w:rsidTr="00740F28">
        <w:tc>
          <w:tcPr>
            <w:tcW w:w="3794" w:type="dxa"/>
          </w:tcPr>
          <w:p w:rsidR="00440716" w:rsidRPr="00440716" w:rsidRDefault="00440716" w:rsidP="00975FFE">
            <w:pPr>
              <w:jc w:val="both"/>
              <w:rPr>
                <w:sz w:val="24"/>
                <w:szCs w:val="24"/>
              </w:rPr>
            </w:pPr>
            <w:r w:rsidRPr="00440716">
              <w:rPr>
                <w:b/>
                <w:sz w:val="24"/>
                <w:szCs w:val="24"/>
              </w:rPr>
              <w:t xml:space="preserve">Código: </w:t>
            </w:r>
          </w:p>
        </w:tc>
        <w:tc>
          <w:tcPr>
            <w:tcW w:w="5184" w:type="dxa"/>
            <w:gridSpan w:val="2"/>
          </w:tcPr>
          <w:p w:rsidR="00440716" w:rsidRPr="00440716" w:rsidRDefault="00440716" w:rsidP="00975FFE">
            <w:pPr>
              <w:jc w:val="both"/>
              <w:rPr>
                <w:b/>
                <w:sz w:val="24"/>
                <w:szCs w:val="24"/>
              </w:rPr>
            </w:pPr>
          </w:p>
        </w:tc>
      </w:tr>
      <w:tr w:rsidR="00440716" w:rsidRPr="00440716" w:rsidTr="00740F28">
        <w:tc>
          <w:tcPr>
            <w:tcW w:w="3794" w:type="dxa"/>
          </w:tcPr>
          <w:p w:rsidR="00440716" w:rsidRPr="00440716" w:rsidRDefault="00440716" w:rsidP="00975FFE">
            <w:pPr>
              <w:jc w:val="both"/>
              <w:rPr>
                <w:b/>
                <w:sz w:val="24"/>
                <w:szCs w:val="24"/>
              </w:rPr>
            </w:pPr>
            <w:r w:rsidRPr="00440716">
              <w:rPr>
                <w:b/>
                <w:sz w:val="24"/>
                <w:szCs w:val="24"/>
              </w:rPr>
              <w:t>Créditos:</w:t>
            </w:r>
          </w:p>
        </w:tc>
        <w:tc>
          <w:tcPr>
            <w:tcW w:w="5184" w:type="dxa"/>
            <w:gridSpan w:val="2"/>
          </w:tcPr>
          <w:p w:rsidR="00440716" w:rsidRPr="00440716" w:rsidRDefault="00440716" w:rsidP="00975FFE">
            <w:pPr>
              <w:jc w:val="both"/>
              <w:rPr>
                <w:b/>
                <w:sz w:val="24"/>
                <w:szCs w:val="24"/>
              </w:rPr>
            </w:pPr>
          </w:p>
        </w:tc>
      </w:tr>
      <w:tr w:rsidR="00440716" w:rsidRPr="00440716" w:rsidTr="00740F28">
        <w:tc>
          <w:tcPr>
            <w:tcW w:w="3794" w:type="dxa"/>
          </w:tcPr>
          <w:p w:rsidR="00440716" w:rsidRPr="00440716" w:rsidRDefault="00440716" w:rsidP="00975FFE">
            <w:pPr>
              <w:jc w:val="both"/>
              <w:rPr>
                <w:sz w:val="20"/>
                <w:szCs w:val="20"/>
              </w:rPr>
            </w:pPr>
            <w:r w:rsidRPr="00440716">
              <w:rPr>
                <w:b/>
                <w:sz w:val="24"/>
                <w:szCs w:val="24"/>
              </w:rPr>
              <w:t>Carácter</w:t>
            </w:r>
            <w:r w:rsidRPr="00440716">
              <w:rPr>
                <w:sz w:val="24"/>
                <w:szCs w:val="24"/>
              </w:rPr>
              <w:t xml:space="preserve">: </w:t>
            </w:r>
          </w:p>
        </w:tc>
        <w:tc>
          <w:tcPr>
            <w:tcW w:w="5184" w:type="dxa"/>
            <w:gridSpan w:val="2"/>
          </w:tcPr>
          <w:p w:rsidR="00440716" w:rsidRPr="00440716" w:rsidRDefault="00440716" w:rsidP="00975FFE">
            <w:pPr>
              <w:jc w:val="both"/>
              <w:rPr>
                <w:b/>
                <w:sz w:val="24"/>
                <w:szCs w:val="24"/>
              </w:rPr>
            </w:pPr>
          </w:p>
        </w:tc>
      </w:tr>
      <w:tr w:rsidR="00440716" w:rsidRPr="00440716" w:rsidTr="00740F28">
        <w:tc>
          <w:tcPr>
            <w:tcW w:w="3794" w:type="dxa"/>
          </w:tcPr>
          <w:p w:rsidR="00440716" w:rsidRPr="00440716" w:rsidRDefault="00440716" w:rsidP="00975FFE">
            <w:pPr>
              <w:jc w:val="both"/>
              <w:rPr>
                <w:b/>
                <w:sz w:val="24"/>
                <w:szCs w:val="24"/>
              </w:rPr>
            </w:pPr>
            <w:r w:rsidRPr="00440716">
              <w:rPr>
                <w:b/>
                <w:sz w:val="24"/>
                <w:szCs w:val="24"/>
              </w:rPr>
              <w:t>Prerrequisitos:</w:t>
            </w:r>
          </w:p>
        </w:tc>
        <w:tc>
          <w:tcPr>
            <w:tcW w:w="5184" w:type="dxa"/>
            <w:gridSpan w:val="2"/>
          </w:tcPr>
          <w:p w:rsidR="00440716" w:rsidRPr="00440716" w:rsidRDefault="00440716" w:rsidP="00975FFE">
            <w:pPr>
              <w:jc w:val="both"/>
              <w:rPr>
                <w:b/>
                <w:sz w:val="24"/>
                <w:szCs w:val="24"/>
              </w:rPr>
            </w:pPr>
          </w:p>
        </w:tc>
      </w:tr>
      <w:tr w:rsidR="00440716" w:rsidRPr="00440716" w:rsidTr="00740F28">
        <w:trPr>
          <w:trHeight w:val="390"/>
        </w:trPr>
        <w:tc>
          <w:tcPr>
            <w:tcW w:w="3794" w:type="dxa"/>
          </w:tcPr>
          <w:p w:rsidR="00312ACD" w:rsidRDefault="00440716" w:rsidP="00975FFE">
            <w:pPr>
              <w:jc w:val="both"/>
              <w:rPr>
                <w:b/>
                <w:i/>
                <w:sz w:val="24"/>
                <w:szCs w:val="24"/>
              </w:rPr>
            </w:pPr>
            <w:r w:rsidRPr="00440716">
              <w:rPr>
                <w:b/>
                <w:sz w:val="24"/>
                <w:szCs w:val="24"/>
              </w:rPr>
              <w:t>Tipo</w:t>
            </w:r>
            <w:r w:rsidRPr="00440716">
              <w:rPr>
                <w:b/>
                <w:i/>
                <w:sz w:val="24"/>
                <w:szCs w:val="24"/>
              </w:rPr>
              <w:t xml:space="preserve">: </w:t>
            </w:r>
          </w:p>
          <w:p w:rsidR="008F19DA" w:rsidRPr="00740F28" w:rsidRDefault="008F19DA" w:rsidP="008F19DA">
            <w:pPr>
              <w:jc w:val="both"/>
              <w:rPr>
                <w:b/>
                <w:i/>
                <w:sz w:val="24"/>
                <w:szCs w:val="24"/>
              </w:rPr>
            </w:pPr>
            <w:r>
              <w:rPr>
                <w:b/>
                <w:i/>
                <w:sz w:val="24"/>
                <w:szCs w:val="24"/>
              </w:rPr>
              <w:t>Docente:</w:t>
            </w:r>
          </w:p>
        </w:tc>
        <w:tc>
          <w:tcPr>
            <w:tcW w:w="5184" w:type="dxa"/>
            <w:gridSpan w:val="2"/>
          </w:tcPr>
          <w:p w:rsidR="00440716" w:rsidRDefault="008F19DA" w:rsidP="00975FFE">
            <w:pPr>
              <w:jc w:val="both"/>
              <w:rPr>
                <w:sz w:val="24"/>
                <w:szCs w:val="24"/>
              </w:rPr>
            </w:pPr>
            <w:r>
              <w:rPr>
                <w:sz w:val="24"/>
                <w:szCs w:val="24"/>
              </w:rPr>
              <w:t>OFG</w:t>
            </w:r>
          </w:p>
          <w:p w:rsidR="008F19DA" w:rsidRPr="008F19DA" w:rsidRDefault="008F19DA" w:rsidP="008F19DA">
            <w:pPr>
              <w:jc w:val="both"/>
              <w:rPr>
                <w:bCs/>
                <w:iCs/>
                <w:sz w:val="24"/>
                <w:szCs w:val="24"/>
              </w:rPr>
            </w:pPr>
            <w:r w:rsidRPr="008F19DA">
              <w:rPr>
                <w:bCs/>
                <w:iCs/>
                <w:sz w:val="24"/>
                <w:szCs w:val="24"/>
              </w:rPr>
              <w:t>Sebastián Muñoz Tapia y Leonardo Diaz Collao</w:t>
            </w:r>
          </w:p>
          <w:p w:rsidR="008F19DA" w:rsidRPr="00440716" w:rsidRDefault="008F19DA" w:rsidP="00975FFE">
            <w:pPr>
              <w:jc w:val="both"/>
              <w:rPr>
                <w:sz w:val="24"/>
                <w:szCs w:val="24"/>
              </w:rPr>
            </w:pPr>
          </w:p>
        </w:tc>
      </w:tr>
      <w:tr w:rsidR="00312ACD" w:rsidRPr="00440716" w:rsidTr="00740F28">
        <w:tc>
          <w:tcPr>
            <w:tcW w:w="3794" w:type="dxa"/>
          </w:tcPr>
          <w:p w:rsidR="00312ACD" w:rsidRPr="00740F28" w:rsidRDefault="00312ACD" w:rsidP="00312ACD">
            <w:pPr>
              <w:jc w:val="both"/>
              <w:rPr>
                <w:b/>
                <w:sz w:val="24"/>
                <w:szCs w:val="24"/>
              </w:rPr>
            </w:pPr>
            <w:r w:rsidRPr="00740F28">
              <w:rPr>
                <w:b/>
                <w:sz w:val="24"/>
                <w:szCs w:val="24"/>
              </w:rPr>
              <w:t>Horas cronológicas de dedicación</w:t>
            </w:r>
          </w:p>
          <w:p w:rsidR="00312ACD" w:rsidRPr="00440716" w:rsidRDefault="00312ACD" w:rsidP="00975FFE">
            <w:pPr>
              <w:jc w:val="both"/>
              <w:rPr>
                <w:b/>
                <w:sz w:val="24"/>
                <w:szCs w:val="24"/>
              </w:rPr>
            </w:pPr>
          </w:p>
        </w:tc>
        <w:tc>
          <w:tcPr>
            <w:tcW w:w="2551" w:type="dxa"/>
          </w:tcPr>
          <w:p w:rsidR="00312ACD" w:rsidRPr="00740F28" w:rsidRDefault="00312ACD" w:rsidP="00312ACD">
            <w:pPr>
              <w:jc w:val="both"/>
              <w:rPr>
                <w:b/>
                <w:sz w:val="24"/>
                <w:szCs w:val="24"/>
              </w:rPr>
            </w:pPr>
            <w:r w:rsidRPr="00740F28">
              <w:rPr>
                <w:b/>
                <w:sz w:val="24"/>
                <w:szCs w:val="24"/>
              </w:rPr>
              <w:t xml:space="preserve">Docencia directa: </w:t>
            </w:r>
            <w:r w:rsidR="008F19DA">
              <w:rPr>
                <w:b/>
                <w:sz w:val="24"/>
                <w:szCs w:val="24"/>
              </w:rPr>
              <w:t>3</w:t>
            </w:r>
          </w:p>
          <w:p w:rsidR="00312ACD" w:rsidRPr="00440716" w:rsidRDefault="00312ACD" w:rsidP="00975FFE">
            <w:pPr>
              <w:jc w:val="both"/>
              <w:rPr>
                <w:sz w:val="24"/>
                <w:szCs w:val="24"/>
              </w:rPr>
            </w:pPr>
          </w:p>
        </w:tc>
        <w:tc>
          <w:tcPr>
            <w:tcW w:w="2633" w:type="dxa"/>
          </w:tcPr>
          <w:p w:rsidR="00312ACD" w:rsidRDefault="00740F28" w:rsidP="00975FFE">
            <w:pPr>
              <w:jc w:val="both"/>
              <w:rPr>
                <w:b/>
                <w:sz w:val="24"/>
                <w:szCs w:val="24"/>
              </w:rPr>
            </w:pPr>
            <w:r w:rsidRPr="00740F28">
              <w:rPr>
                <w:b/>
                <w:sz w:val="24"/>
                <w:szCs w:val="24"/>
              </w:rPr>
              <w:t>Trabajo autónomo:</w:t>
            </w:r>
            <w:r w:rsidR="008F19DA">
              <w:rPr>
                <w:b/>
                <w:sz w:val="24"/>
                <w:szCs w:val="24"/>
              </w:rPr>
              <w:t>7</w:t>
            </w:r>
          </w:p>
          <w:p w:rsidR="008F19DA" w:rsidRDefault="008F19DA" w:rsidP="00975FFE">
            <w:pPr>
              <w:jc w:val="both"/>
              <w:rPr>
                <w:b/>
                <w:sz w:val="24"/>
                <w:szCs w:val="24"/>
              </w:rPr>
            </w:pPr>
          </w:p>
          <w:p w:rsidR="008F19DA" w:rsidRPr="00740F28" w:rsidRDefault="008F19DA" w:rsidP="00975FFE">
            <w:pPr>
              <w:jc w:val="both"/>
              <w:rPr>
                <w:b/>
                <w:sz w:val="24"/>
                <w:szCs w:val="24"/>
              </w:rPr>
            </w:pPr>
          </w:p>
        </w:tc>
      </w:tr>
    </w:tbl>
    <w:p w:rsidR="006D091C" w:rsidRPr="005551A3" w:rsidRDefault="006D091C" w:rsidP="007C19BD">
      <w:pPr>
        <w:spacing w:after="0" w:line="240" w:lineRule="auto"/>
        <w:jc w:val="both"/>
        <w:rPr>
          <w:sz w:val="24"/>
          <w:szCs w:val="24"/>
        </w:rPr>
      </w:pPr>
    </w:p>
    <w:p w:rsidR="007C19BD" w:rsidRPr="00440716" w:rsidRDefault="006D091C" w:rsidP="00440716">
      <w:pPr>
        <w:numPr>
          <w:ilvl w:val="0"/>
          <w:numId w:val="36"/>
        </w:numPr>
        <w:shd w:val="clear" w:color="auto" w:fill="D9D9D9"/>
        <w:spacing w:after="0" w:line="240" w:lineRule="auto"/>
        <w:ind w:left="0" w:firstLine="0"/>
        <w:jc w:val="both"/>
        <w:rPr>
          <w:rFonts w:ascii="Calibri" w:eastAsia="Times New Roman" w:hAnsi="Calibri" w:cs="Calibri"/>
          <w:smallCaps/>
          <w:spacing w:val="54"/>
          <w:lang w:val="es-MX" w:eastAsia="es-ES"/>
        </w:rPr>
      </w:pPr>
      <w:r w:rsidRPr="00440716">
        <w:rPr>
          <w:rFonts w:ascii="Calibri" w:eastAsia="Times New Roman" w:hAnsi="Calibri" w:cs="Calibri"/>
          <w:smallCaps/>
          <w:spacing w:val="54"/>
          <w:lang w:val="es-MX" w:eastAsia="es-ES"/>
        </w:rPr>
        <w:t>Descrip</w:t>
      </w:r>
      <w:r w:rsidR="00440716" w:rsidRPr="00440716">
        <w:rPr>
          <w:rFonts w:ascii="Calibri" w:eastAsia="Times New Roman" w:hAnsi="Calibri" w:cs="Calibri"/>
          <w:smallCaps/>
          <w:spacing w:val="54"/>
          <w:lang w:val="es-MX" w:eastAsia="es-ES"/>
        </w:rPr>
        <w:t xml:space="preserve">ción </w:t>
      </w:r>
    </w:p>
    <w:p w:rsidR="007C19BD" w:rsidRDefault="007C19BD" w:rsidP="007C19BD">
      <w:pPr>
        <w:spacing w:after="0" w:line="240" w:lineRule="auto"/>
        <w:jc w:val="both"/>
        <w:rPr>
          <w:b/>
          <w:bCs/>
          <w:sz w:val="24"/>
          <w:szCs w:val="24"/>
        </w:rPr>
      </w:pPr>
    </w:p>
    <w:p w:rsidR="00747269" w:rsidRPr="00747269" w:rsidRDefault="00F44F1E" w:rsidP="00747269">
      <w:pPr>
        <w:spacing w:after="0" w:line="240" w:lineRule="auto"/>
        <w:jc w:val="both"/>
        <w:rPr>
          <w:sz w:val="24"/>
          <w:szCs w:val="24"/>
        </w:rPr>
      </w:pPr>
      <w:r w:rsidRPr="00F44F1E">
        <w:rPr>
          <w:sz w:val="24"/>
          <w:szCs w:val="24"/>
        </w:rPr>
        <w:t xml:space="preserve">Esta actividad curricular forma parte de la formación disciplinar del ciclo de pregrado y se orienta a desarrollar herramientas teóricas y metodológicas para el análisis de fenómenos </w:t>
      </w:r>
      <w:r w:rsidR="00A53181">
        <w:rPr>
          <w:sz w:val="24"/>
          <w:szCs w:val="24"/>
        </w:rPr>
        <w:t>socio</w:t>
      </w:r>
      <w:r w:rsidRPr="00F44F1E">
        <w:rPr>
          <w:sz w:val="24"/>
          <w:szCs w:val="24"/>
        </w:rPr>
        <w:t xml:space="preserve">culturales a partir del estudio de la música y el sonido. Está dirigida a estudiantes sin formación previa en el área, con el objetivo de introducirlos en una perspectiva que considera la música y el sonido como formas de mediación fundamentales para comprender la vida social. Esta aproximación </w:t>
      </w:r>
      <w:r>
        <w:rPr>
          <w:sz w:val="24"/>
          <w:szCs w:val="24"/>
        </w:rPr>
        <w:t xml:space="preserve">se </w:t>
      </w:r>
      <w:r w:rsidRPr="00F44F1E">
        <w:rPr>
          <w:sz w:val="24"/>
          <w:szCs w:val="24"/>
        </w:rPr>
        <w:t xml:space="preserve">propone pensar el sonido como parte de un entramado complejo de relaciones sociales, tecnológicas, estéticas y políticas que configuran la experiencia cotidiana y la organización de lo social. </w:t>
      </w:r>
      <w:r>
        <w:rPr>
          <w:sz w:val="24"/>
          <w:szCs w:val="24"/>
        </w:rPr>
        <w:t xml:space="preserve">Así, </w:t>
      </w:r>
      <w:r w:rsidRPr="00F44F1E">
        <w:rPr>
          <w:sz w:val="24"/>
          <w:szCs w:val="24"/>
        </w:rPr>
        <w:t>desde una perspectiva interdisciplinaria que articula la antropología, la sociología y la etnomusicología</w:t>
      </w:r>
      <w:r>
        <w:rPr>
          <w:sz w:val="24"/>
          <w:szCs w:val="24"/>
        </w:rPr>
        <w:t xml:space="preserve">, se privilegiará </w:t>
      </w:r>
      <w:r w:rsidR="00747269" w:rsidRPr="00747269">
        <w:rPr>
          <w:sz w:val="24"/>
          <w:szCs w:val="24"/>
        </w:rPr>
        <w:t>el cruce entre teoría y casos empíricos latinoamericanos.</w:t>
      </w:r>
    </w:p>
    <w:p w:rsidR="00747269" w:rsidRPr="00747269" w:rsidRDefault="00747269" w:rsidP="00747269">
      <w:pPr>
        <w:spacing w:after="0" w:line="240" w:lineRule="auto"/>
        <w:jc w:val="both"/>
        <w:rPr>
          <w:sz w:val="24"/>
          <w:szCs w:val="24"/>
        </w:rPr>
      </w:pPr>
    </w:p>
    <w:p w:rsidR="00F44F1E" w:rsidRPr="00F44F1E" w:rsidRDefault="00F44F1E" w:rsidP="00F44F1E">
      <w:pPr>
        <w:spacing w:after="0" w:line="240" w:lineRule="auto"/>
        <w:jc w:val="both"/>
        <w:rPr>
          <w:sz w:val="24"/>
          <w:szCs w:val="24"/>
        </w:rPr>
      </w:pPr>
      <w:r>
        <w:rPr>
          <w:sz w:val="24"/>
          <w:szCs w:val="24"/>
        </w:rPr>
        <w:t>Por lo menos a</w:t>
      </w:r>
      <w:r w:rsidRPr="00F44F1E">
        <w:rPr>
          <w:sz w:val="24"/>
          <w:szCs w:val="24"/>
        </w:rPr>
        <w:t xml:space="preserve"> partir de los años setenta, las ciencias sociales comenzaron a consolidar un enfoque que entiende la música como una forma de organización sonora profundamente arraigada en contextos culturales específicos. Este giro permitió ampliar el foco de análisis más allá del contenido musical hacia las prácticas sociales, experiencias de escucha, paisajes sonoros y tecnologías musicales implicadas en su producción y recepción. En este contexto, la música se presenta como una vía privilegiada para comprender procesos de construcción identitaria, distinción social, circulación de afectos, mediaciones tecnológicas y relaciones de poder.</w:t>
      </w:r>
    </w:p>
    <w:p w:rsidR="00F44F1E" w:rsidRPr="00F44F1E" w:rsidRDefault="00F44F1E" w:rsidP="00F44F1E">
      <w:pPr>
        <w:spacing w:after="0" w:line="240" w:lineRule="auto"/>
        <w:jc w:val="both"/>
        <w:rPr>
          <w:sz w:val="24"/>
          <w:szCs w:val="24"/>
        </w:rPr>
      </w:pPr>
    </w:p>
    <w:p w:rsidR="00F44F1E" w:rsidRPr="00F44F1E" w:rsidRDefault="00F44F1E" w:rsidP="00F44F1E">
      <w:pPr>
        <w:spacing w:after="0" w:line="240" w:lineRule="auto"/>
        <w:jc w:val="both"/>
        <w:rPr>
          <w:sz w:val="24"/>
          <w:szCs w:val="24"/>
        </w:rPr>
      </w:pPr>
      <w:r w:rsidRPr="00F44F1E">
        <w:rPr>
          <w:sz w:val="24"/>
          <w:szCs w:val="24"/>
        </w:rPr>
        <w:lastRenderedPageBreak/>
        <w:t xml:space="preserve">El curso propone una aproximación crítica al estudio de la música y el sonido como dimensiones centrales de las sociedades contemporáneas. A través de autores como Alan </w:t>
      </w:r>
      <w:proofErr w:type="spellStart"/>
      <w:r w:rsidRPr="00F44F1E">
        <w:rPr>
          <w:sz w:val="24"/>
          <w:szCs w:val="24"/>
        </w:rPr>
        <w:t>Merriam</w:t>
      </w:r>
      <w:proofErr w:type="spellEnd"/>
      <w:r w:rsidRPr="00F44F1E">
        <w:rPr>
          <w:sz w:val="24"/>
          <w:szCs w:val="24"/>
        </w:rPr>
        <w:t xml:space="preserve">, Steven </w:t>
      </w:r>
      <w:proofErr w:type="spellStart"/>
      <w:r w:rsidRPr="00F44F1E">
        <w:rPr>
          <w:sz w:val="24"/>
          <w:szCs w:val="24"/>
        </w:rPr>
        <w:t>Feld</w:t>
      </w:r>
      <w:proofErr w:type="spellEnd"/>
      <w:r w:rsidRPr="00F44F1E">
        <w:rPr>
          <w:sz w:val="24"/>
          <w:szCs w:val="24"/>
        </w:rPr>
        <w:t xml:space="preserve">, Ana María Ochoa Gautier, Pierre Bourdieu, Howard Becker y Antoine </w:t>
      </w:r>
      <w:proofErr w:type="spellStart"/>
      <w:r w:rsidRPr="00F44F1E">
        <w:rPr>
          <w:sz w:val="24"/>
          <w:szCs w:val="24"/>
        </w:rPr>
        <w:t>Hennion</w:t>
      </w:r>
      <w:proofErr w:type="spellEnd"/>
      <w:r w:rsidRPr="00F44F1E">
        <w:rPr>
          <w:sz w:val="24"/>
          <w:szCs w:val="24"/>
        </w:rPr>
        <w:t xml:space="preserve">, se revisarán conceptos como agencia estética, </w:t>
      </w:r>
      <w:proofErr w:type="spellStart"/>
      <w:r w:rsidRPr="00F44F1E">
        <w:rPr>
          <w:sz w:val="24"/>
          <w:szCs w:val="24"/>
        </w:rPr>
        <w:t>acústemología</w:t>
      </w:r>
      <w:proofErr w:type="spellEnd"/>
      <w:r w:rsidRPr="00F44F1E">
        <w:rPr>
          <w:sz w:val="24"/>
          <w:szCs w:val="24"/>
        </w:rPr>
        <w:t xml:space="preserve">, gusto, mediación, performance y escucha. Complementariamente, se analizarán casos empíricos de América Latina para </w:t>
      </w:r>
      <w:r>
        <w:rPr>
          <w:sz w:val="24"/>
          <w:szCs w:val="24"/>
        </w:rPr>
        <w:t>entender</w:t>
      </w:r>
      <w:r w:rsidRPr="00F44F1E">
        <w:rPr>
          <w:sz w:val="24"/>
          <w:szCs w:val="24"/>
        </w:rPr>
        <w:t xml:space="preserve"> los debates teóricos desde contextos concretos.</w:t>
      </w:r>
    </w:p>
    <w:p w:rsidR="00F44F1E" w:rsidRPr="00F44F1E" w:rsidRDefault="00F44F1E" w:rsidP="00F44F1E">
      <w:pPr>
        <w:spacing w:after="0" w:line="240" w:lineRule="auto"/>
        <w:jc w:val="both"/>
        <w:rPr>
          <w:sz w:val="24"/>
          <w:szCs w:val="24"/>
        </w:rPr>
      </w:pPr>
    </w:p>
    <w:p w:rsidR="00747269" w:rsidRDefault="00F44F1E" w:rsidP="00F44F1E">
      <w:pPr>
        <w:spacing w:after="0" w:line="240" w:lineRule="auto"/>
        <w:jc w:val="both"/>
        <w:rPr>
          <w:b/>
          <w:bCs/>
          <w:sz w:val="24"/>
          <w:szCs w:val="24"/>
        </w:rPr>
      </w:pPr>
      <w:r w:rsidRPr="00F44F1E">
        <w:rPr>
          <w:sz w:val="24"/>
          <w:szCs w:val="24"/>
        </w:rPr>
        <w:t>El curso contribuye al logro del perfil de egreso al promover competencias analíticas y metodológicas para abordar la cultura desde el ámbito de la música, a partir de una perspectiva situada, crítica y empírica, fortaleciendo la capacidad de los y las estudiantes para vincular teoría, experiencia y trabajo de campo.</w:t>
      </w:r>
    </w:p>
    <w:p w:rsidR="00747269" w:rsidRDefault="00747269" w:rsidP="007C19BD">
      <w:pPr>
        <w:spacing w:after="0" w:line="240" w:lineRule="auto"/>
        <w:jc w:val="both"/>
        <w:rPr>
          <w:b/>
          <w:bCs/>
          <w:sz w:val="24"/>
          <w:szCs w:val="24"/>
        </w:rPr>
      </w:pPr>
    </w:p>
    <w:p w:rsidR="007C19BD" w:rsidRPr="00440716" w:rsidRDefault="006D091C" w:rsidP="00440716">
      <w:pPr>
        <w:numPr>
          <w:ilvl w:val="0"/>
          <w:numId w:val="36"/>
        </w:numPr>
        <w:shd w:val="clear" w:color="auto" w:fill="D9D9D9"/>
        <w:spacing w:after="0" w:line="240" w:lineRule="auto"/>
        <w:ind w:left="0" w:firstLine="0"/>
        <w:jc w:val="both"/>
        <w:rPr>
          <w:rFonts w:ascii="Calibri" w:eastAsia="Times New Roman" w:hAnsi="Calibri" w:cs="Calibri"/>
          <w:smallCaps/>
          <w:spacing w:val="54"/>
          <w:lang w:val="es-MX" w:eastAsia="es-ES"/>
        </w:rPr>
      </w:pPr>
      <w:r w:rsidRPr="00440716">
        <w:rPr>
          <w:rFonts w:ascii="Calibri" w:eastAsia="Times New Roman" w:hAnsi="Calibri" w:cs="Calibri"/>
          <w:smallCaps/>
          <w:spacing w:val="54"/>
          <w:lang w:val="es-MX" w:eastAsia="es-ES"/>
        </w:rPr>
        <w:t>Propósitos</w:t>
      </w:r>
      <w:r w:rsidR="00A20C27">
        <w:rPr>
          <w:rFonts w:ascii="Calibri" w:eastAsia="Times New Roman" w:hAnsi="Calibri" w:cs="Calibri"/>
          <w:smallCaps/>
          <w:spacing w:val="54"/>
          <w:lang w:val="es-MX" w:eastAsia="es-ES"/>
        </w:rPr>
        <w:t xml:space="preserve"> de aprendizaje </w:t>
      </w:r>
    </w:p>
    <w:p w:rsidR="00440716" w:rsidRDefault="00440716" w:rsidP="007C19BD">
      <w:pPr>
        <w:spacing w:after="0" w:line="240" w:lineRule="auto"/>
        <w:jc w:val="both"/>
        <w:rPr>
          <w:b/>
          <w:sz w:val="24"/>
          <w:szCs w:val="24"/>
        </w:rPr>
      </w:pPr>
    </w:p>
    <w:p w:rsidR="00747269" w:rsidRPr="00747269" w:rsidRDefault="00747269" w:rsidP="00747269">
      <w:pPr>
        <w:spacing w:after="0" w:line="240" w:lineRule="auto"/>
        <w:jc w:val="both"/>
        <w:rPr>
          <w:sz w:val="24"/>
          <w:szCs w:val="24"/>
        </w:rPr>
      </w:pPr>
      <w:r w:rsidRPr="00747269">
        <w:rPr>
          <w:sz w:val="24"/>
          <w:szCs w:val="24"/>
        </w:rPr>
        <w:t>Al término de esta actividad curricular, los y las estudiantes serán capaces de:</w:t>
      </w:r>
    </w:p>
    <w:p w:rsidR="00747269" w:rsidRPr="00747269" w:rsidRDefault="00747269" w:rsidP="00747269">
      <w:pPr>
        <w:pStyle w:val="Prrafodelista"/>
        <w:numPr>
          <w:ilvl w:val="0"/>
          <w:numId w:val="38"/>
        </w:numPr>
        <w:tabs>
          <w:tab w:val="num" w:pos="720"/>
        </w:tabs>
        <w:spacing w:after="0" w:line="240" w:lineRule="auto"/>
        <w:jc w:val="both"/>
        <w:rPr>
          <w:sz w:val="24"/>
          <w:szCs w:val="24"/>
        </w:rPr>
      </w:pPr>
      <w:r w:rsidRPr="00747269">
        <w:rPr>
          <w:sz w:val="24"/>
          <w:szCs w:val="24"/>
        </w:rPr>
        <w:t>Comprender los principales enfoques teóricos de la antropología y sociología de la música, con énfasis en autores clásicos y contemporáneos.</w:t>
      </w:r>
    </w:p>
    <w:p w:rsidR="00747269" w:rsidRPr="00747269" w:rsidRDefault="00747269" w:rsidP="00747269">
      <w:pPr>
        <w:pStyle w:val="Prrafodelista"/>
        <w:numPr>
          <w:ilvl w:val="0"/>
          <w:numId w:val="38"/>
        </w:numPr>
        <w:tabs>
          <w:tab w:val="num" w:pos="720"/>
        </w:tabs>
        <w:spacing w:after="0" w:line="240" w:lineRule="auto"/>
        <w:jc w:val="both"/>
        <w:rPr>
          <w:sz w:val="24"/>
          <w:szCs w:val="24"/>
        </w:rPr>
      </w:pPr>
      <w:r w:rsidRPr="00747269">
        <w:rPr>
          <w:sz w:val="24"/>
          <w:szCs w:val="24"/>
        </w:rPr>
        <w:t>Analizar prácticas musicales y sonoras desde una perspectiva etnográfica, atendiendo a su dimensión estética, política y social.</w:t>
      </w:r>
    </w:p>
    <w:p w:rsidR="00747269" w:rsidRPr="00747269" w:rsidRDefault="00747269" w:rsidP="00747269">
      <w:pPr>
        <w:pStyle w:val="Prrafodelista"/>
        <w:numPr>
          <w:ilvl w:val="0"/>
          <w:numId w:val="38"/>
        </w:numPr>
        <w:tabs>
          <w:tab w:val="num" w:pos="720"/>
        </w:tabs>
        <w:spacing w:after="0" w:line="240" w:lineRule="auto"/>
        <w:jc w:val="both"/>
        <w:rPr>
          <w:sz w:val="24"/>
          <w:szCs w:val="24"/>
        </w:rPr>
      </w:pPr>
      <w:r w:rsidRPr="00747269">
        <w:rPr>
          <w:sz w:val="24"/>
          <w:szCs w:val="24"/>
        </w:rPr>
        <w:t>Aplicar categorías teóricas en el análisis de casos musicales latinoamericanos mediante el uso de metodologías cualitativas.</w:t>
      </w:r>
    </w:p>
    <w:p w:rsidR="00747269" w:rsidRPr="00747269" w:rsidRDefault="00747269" w:rsidP="00747269">
      <w:pPr>
        <w:pStyle w:val="Prrafodelista"/>
        <w:numPr>
          <w:ilvl w:val="0"/>
          <w:numId w:val="38"/>
        </w:numPr>
        <w:tabs>
          <w:tab w:val="num" w:pos="720"/>
        </w:tabs>
        <w:spacing w:after="0" w:line="240" w:lineRule="auto"/>
        <w:jc w:val="both"/>
        <w:rPr>
          <w:sz w:val="24"/>
          <w:szCs w:val="24"/>
        </w:rPr>
      </w:pPr>
      <w:r w:rsidRPr="00747269">
        <w:rPr>
          <w:sz w:val="24"/>
          <w:szCs w:val="24"/>
        </w:rPr>
        <w:t>Desarrollar capacidades de lectura crítica, argumentación escrita y exposición oral, articulando teoría y experiencia.</w:t>
      </w:r>
    </w:p>
    <w:p w:rsidR="008C3C27" w:rsidRPr="00E66928" w:rsidRDefault="008C3C27" w:rsidP="00440716">
      <w:pPr>
        <w:jc w:val="both"/>
        <w:rPr>
          <w:rFonts w:ascii="Calibri" w:hAnsi="Calibri" w:cs="Calibri"/>
          <w:bCs/>
          <w:i/>
          <w:color w:val="808080"/>
        </w:rPr>
      </w:pPr>
    </w:p>
    <w:p w:rsidR="006D091C" w:rsidRPr="00440716" w:rsidRDefault="00440716" w:rsidP="00440716">
      <w:pPr>
        <w:numPr>
          <w:ilvl w:val="0"/>
          <w:numId w:val="36"/>
        </w:numPr>
        <w:shd w:val="clear" w:color="auto" w:fill="D9D9D9"/>
        <w:spacing w:after="0" w:line="240" w:lineRule="auto"/>
        <w:ind w:left="0" w:firstLine="0"/>
        <w:jc w:val="both"/>
        <w:rPr>
          <w:rFonts w:ascii="Calibri" w:eastAsia="Times New Roman" w:hAnsi="Calibri" w:cs="Calibri"/>
          <w:smallCaps/>
          <w:spacing w:val="54"/>
          <w:lang w:val="es-MX" w:eastAsia="es-ES"/>
        </w:rPr>
      </w:pPr>
      <w:r>
        <w:rPr>
          <w:rFonts w:ascii="Calibri" w:eastAsia="Times New Roman" w:hAnsi="Calibri" w:cs="Calibri"/>
          <w:smallCaps/>
          <w:spacing w:val="54"/>
          <w:lang w:val="es-MX" w:eastAsia="es-ES"/>
        </w:rPr>
        <w:t>Contenidos</w:t>
      </w:r>
    </w:p>
    <w:p w:rsidR="007C19BD" w:rsidRDefault="007C19BD" w:rsidP="007C19BD">
      <w:pPr>
        <w:spacing w:after="0" w:line="240" w:lineRule="auto"/>
        <w:jc w:val="both"/>
        <w:rPr>
          <w:b/>
          <w:sz w:val="24"/>
          <w:szCs w:val="24"/>
        </w:rPr>
      </w:pPr>
    </w:p>
    <w:p w:rsidR="00747269" w:rsidRPr="006F20AA" w:rsidRDefault="00747269" w:rsidP="00747269">
      <w:pPr>
        <w:spacing w:after="0" w:line="240" w:lineRule="auto"/>
        <w:jc w:val="both"/>
        <w:rPr>
          <w:b/>
          <w:bCs/>
          <w:sz w:val="24"/>
          <w:szCs w:val="24"/>
        </w:rPr>
      </w:pPr>
      <w:r w:rsidRPr="006F20AA">
        <w:rPr>
          <w:b/>
          <w:bCs/>
          <w:sz w:val="24"/>
          <w:szCs w:val="24"/>
        </w:rPr>
        <w:t xml:space="preserve">Unidad I: Fundamentos conceptuales </w:t>
      </w:r>
      <w:r w:rsidR="001F004F">
        <w:rPr>
          <w:b/>
          <w:bCs/>
          <w:sz w:val="24"/>
          <w:szCs w:val="24"/>
        </w:rPr>
        <w:t>generales</w:t>
      </w:r>
    </w:p>
    <w:p w:rsidR="00887322" w:rsidRPr="00887322" w:rsidRDefault="00887322" w:rsidP="00887322">
      <w:pPr>
        <w:pStyle w:val="Prrafodelista"/>
        <w:numPr>
          <w:ilvl w:val="0"/>
          <w:numId w:val="38"/>
        </w:numPr>
        <w:tabs>
          <w:tab w:val="num" w:pos="720"/>
        </w:tabs>
        <w:spacing w:after="0" w:line="240" w:lineRule="auto"/>
        <w:jc w:val="both"/>
        <w:rPr>
          <w:sz w:val="24"/>
          <w:szCs w:val="24"/>
        </w:rPr>
      </w:pPr>
      <w:r>
        <w:rPr>
          <w:sz w:val="24"/>
          <w:szCs w:val="24"/>
        </w:rPr>
        <w:t>Sociologismo y Esteticismo (</w:t>
      </w:r>
      <w:proofErr w:type="spellStart"/>
      <w:r>
        <w:rPr>
          <w:sz w:val="24"/>
          <w:szCs w:val="24"/>
        </w:rPr>
        <w:t>Hennion</w:t>
      </w:r>
      <w:proofErr w:type="spellEnd"/>
      <w:r>
        <w:rPr>
          <w:sz w:val="24"/>
          <w:szCs w:val="24"/>
        </w:rPr>
        <w:t>)</w:t>
      </w:r>
    </w:p>
    <w:p w:rsidR="00747269" w:rsidRPr="00747269" w:rsidRDefault="00747269" w:rsidP="00747269">
      <w:pPr>
        <w:pStyle w:val="Prrafodelista"/>
        <w:numPr>
          <w:ilvl w:val="0"/>
          <w:numId w:val="38"/>
        </w:numPr>
        <w:tabs>
          <w:tab w:val="num" w:pos="720"/>
        </w:tabs>
        <w:spacing w:after="0" w:line="240" w:lineRule="auto"/>
        <w:jc w:val="both"/>
        <w:rPr>
          <w:sz w:val="24"/>
          <w:szCs w:val="24"/>
        </w:rPr>
      </w:pPr>
      <w:r w:rsidRPr="00747269">
        <w:rPr>
          <w:sz w:val="24"/>
          <w:szCs w:val="24"/>
        </w:rPr>
        <w:t>Funciones sociales de la música (</w:t>
      </w:r>
      <w:proofErr w:type="spellStart"/>
      <w:r w:rsidRPr="00747269">
        <w:rPr>
          <w:sz w:val="24"/>
          <w:szCs w:val="24"/>
        </w:rPr>
        <w:t>Merriam</w:t>
      </w:r>
      <w:proofErr w:type="spellEnd"/>
      <w:r w:rsidRPr="00747269">
        <w:rPr>
          <w:sz w:val="24"/>
          <w:szCs w:val="24"/>
        </w:rPr>
        <w:t>)</w:t>
      </w:r>
    </w:p>
    <w:p w:rsidR="00747269" w:rsidRPr="00747269" w:rsidRDefault="00747269" w:rsidP="00747269">
      <w:pPr>
        <w:pStyle w:val="Prrafodelista"/>
        <w:numPr>
          <w:ilvl w:val="0"/>
          <w:numId w:val="38"/>
        </w:numPr>
        <w:tabs>
          <w:tab w:val="num" w:pos="720"/>
        </w:tabs>
        <w:spacing w:after="0" w:line="240" w:lineRule="auto"/>
        <w:jc w:val="both"/>
        <w:rPr>
          <w:sz w:val="24"/>
          <w:szCs w:val="24"/>
        </w:rPr>
      </w:pPr>
      <w:r w:rsidRPr="00747269">
        <w:rPr>
          <w:sz w:val="24"/>
          <w:szCs w:val="24"/>
        </w:rPr>
        <w:t>Música como comportamiento humano (</w:t>
      </w:r>
      <w:proofErr w:type="spellStart"/>
      <w:r w:rsidRPr="00747269">
        <w:rPr>
          <w:sz w:val="24"/>
          <w:szCs w:val="24"/>
        </w:rPr>
        <w:t>Blacking</w:t>
      </w:r>
      <w:proofErr w:type="spellEnd"/>
      <w:r w:rsidRPr="00747269">
        <w:rPr>
          <w:sz w:val="24"/>
          <w:szCs w:val="24"/>
        </w:rPr>
        <w:t>)</w:t>
      </w:r>
    </w:p>
    <w:p w:rsidR="00747269" w:rsidRPr="00747269" w:rsidRDefault="00747269" w:rsidP="00747269">
      <w:pPr>
        <w:spacing w:after="0" w:line="240" w:lineRule="auto"/>
        <w:ind w:left="360"/>
        <w:jc w:val="both"/>
        <w:rPr>
          <w:sz w:val="24"/>
          <w:szCs w:val="24"/>
        </w:rPr>
      </w:pPr>
    </w:p>
    <w:p w:rsidR="00747269" w:rsidRPr="006F20AA" w:rsidRDefault="00747269" w:rsidP="00747269">
      <w:pPr>
        <w:spacing w:after="0" w:line="240" w:lineRule="auto"/>
        <w:jc w:val="both"/>
        <w:rPr>
          <w:b/>
          <w:bCs/>
          <w:sz w:val="24"/>
          <w:szCs w:val="24"/>
        </w:rPr>
      </w:pPr>
      <w:r w:rsidRPr="006F20AA">
        <w:rPr>
          <w:b/>
          <w:bCs/>
          <w:sz w:val="24"/>
          <w:szCs w:val="24"/>
        </w:rPr>
        <w:t>Unidad II: Teorías d</w:t>
      </w:r>
      <w:r w:rsidR="006F20AA">
        <w:rPr>
          <w:b/>
          <w:bCs/>
          <w:sz w:val="24"/>
          <w:szCs w:val="24"/>
        </w:rPr>
        <w:t>e la</w:t>
      </w:r>
      <w:r w:rsidRPr="006F20AA">
        <w:rPr>
          <w:b/>
          <w:bCs/>
          <w:sz w:val="24"/>
          <w:szCs w:val="24"/>
        </w:rPr>
        <w:t xml:space="preserve"> producción cultural</w:t>
      </w:r>
      <w:r w:rsidR="006F20AA">
        <w:rPr>
          <w:b/>
          <w:bCs/>
          <w:sz w:val="24"/>
          <w:szCs w:val="24"/>
        </w:rPr>
        <w:t>, mediaciones y el gusto</w:t>
      </w:r>
      <w:r w:rsidRPr="006F20AA">
        <w:rPr>
          <w:b/>
          <w:bCs/>
          <w:sz w:val="24"/>
          <w:szCs w:val="24"/>
        </w:rPr>
        <w:t xml:space="preserve"> en la sociología de la música</w:t>
      </w:r>
    </w:p>
    <w:p w:rsidR="00747269" w:rsidRPr="00747269" w:rsidRDefault="00747269" w:rsidP="00747269">
      <w:pPr>
        <w:pStyle w:val="Prrafodelista"/>
        <w:numPr>
          <w:ilvl w:val="0"/>
          <w:numId w:val="38"/>
        </w:numPr>
        <w:tabs>
          <w:tab w:val="num" w:pos="720"/>
        </w:tabs>
        <w:spacing w:after="0" w:line="240" w:lineRule="auto"/>
        <w:jc w:val="both"/>
        <w:rPr>
          <w:sz w:val="24"/>
          <w:szCs w:val="24"/>
        </w:rPr>
      </w:pPr>
      <w:r w:rsidRPr="00747269">
        <w:rPr>
          <w:sz w:val="24"/>
          <w:szCs w:val="24"/>
        </w:rPr>
        <w:t>Clase, gusto y capital cultural (Weber, Simmel, Bourdieu)</w:t>
      </w:r>
    </w:p>
    <w:p w:rsidR="00747269" w:rsidRPr="00747269" w:rsidRDefault="00747269" w:rsidP="00747269">
      <w:pPr>
        <w:pStyle w:val="Prrafodelista"/>
        <w:numPr>
          <w:ilvl w:val="0"/>
          <w:numId w:val="38"/>
        </w:numPr>
        <w:tabs>
          <w:tab w:val="num" w:pos="720"/>
        </w:tabs>
        <w:spacing w:after="0" w:line="240" w:lineRule="auto"/>
        <w:jc w:val="both"/>
        <w:rPr>
          <w:sz w:val="24"/>
          <w:szCs w:val="24"/>
        </w:rPr>
      </w:pPr>
      <w:r w:rsidRPr="00747269">
        <w:rPr>
          <w:sz w:val="24"/>
          <w:szCs w:val="24"/>
        </w:rPr>
        <w:t>Producción musical y mundos del arte (Becker)</w:t>
      </w:r>
    </w:p>
    <w:p w:rsidR="00747269" w:rsidRPr="00747269" w:rsidRDefault="00747269" w:rsidP="00747269">
      <w:pPr>
        <w:pStyle w:val="Prrafodelista"/>
        <w:numPr>
          <w:ilvl w:val="0"/>
          <w:numId w:val="38"/>
        </w:numPr>
        <w:tabs>
          <w:tab w:val="num" w:pos="720"/>
        </w:tabs>
        <w:spacing w:after="0" w:line="240" w:lineRule="auto"/>
        <w:jc w:val="both"/>
        <w:rPr>
          <w:sz w:val="24"/>
          <w:szCs w:val="24"/>
        </w:rPr>
      </w:pPr>
      <w:r w:rsidRPr="00747269">
        <w:rPr>
          <w:sz w:val="24"/>
          <w:szCs w:val="24"/>
        </w:rPr>
        <w:t>Mediaciones, tecnología y experiencia (</w:t>
      </w:r>
      <w:proofErr w:type="spellStart"/>
      <w:r w:rsidRPr="00747269">
        <w:rPr>
          <w:sz w:val="24"/>
          <w:szCs w:val="24"/>
        </w:rPr>
        <w:t>Hennion</w:t>
      </w:r>
      <w:proofErr w:type="spellEnd"/>
      <w:r w:rsidRPr="00747269">
        <w:rPr>
          <w:sz w:val="24"/>
          <w:szCs w:val="24"/>
        </w:rPr>
        <w:t>, Born)</w:t>
      </w:r>
    </w:p>
    <w:p w:rsidR="00747269" w:rsidRPr="00747269" w:rsidRDefault="00747269" w:rsidP="00747269">
      <w:pPr>
        <w:pStyle w:val="Prrafodelista"/>
        <w:numPr>
          <w:ilvl w:val="0"/>
          <w:numId w:val="38"/>
        </w:numPr>
        <w:tabs>
          <w:tab w:val="num" w:pos="720"/>
        </w:tabs>
        <w:spacing w:after="0" w:line="240" w:lineRule="auto"/>
        <w:jc w:val="both"/>
        <w:rPr>
          <w:sz w:val="24"/>
          <w:szCs w:val="24"/>
        </w:rPr>
      </w:pPr>
      <w:r w:rsidRPr="00747269">
        <w:rPr>
          <w:sz w:val="24"/>
          <w:szCs w:val="24"/>
        </w:rPr>
        <w:t>Gusto y fanatismo musical (</w:t>
      </w:r>
      <w:proofErr w:type="spellStart"/>
      <w:r>
        <w:rPr>
          <w:sz w:val="24"/>
          <w:szCs w:val="24"/>
        </w:rPr>
        <w:t>Hennion</w:t>
      </w:r>
      <w:proofErr w:type="spellEnd"/>
      <w:r>
        <w:rPr>
          <w:sz w:val="24"/>
          <w:szCs w:val="24"/>
        </w:rPr>
        <w:t xml:space="preserve"> y </w:t>
      </w:r>
      <w:proofErr w:type="gramStart"/>
      <w:r>
        <w:rPr>
          <w:sz w:val="24"/>
          <w:szCs w:val="24"/>
        </w:rPr>
        <w:t xml:space="preserve">los </w:t>
      </w:r>
      <w:r w:rsidRPr="00747269">
        <w:rPr>
          <w:sz w:val="24"/>
          <w:szCs w:val="24"/>
        </w:rPr>
        <w:t>fan</w:t>
      </w:r>
      <w:proofErr w:type="gramEnd"/>
      <w:r w:rsidRPr="00747269">
        <w:rPr>
          <w:sz w:val="24"/>
          <w:szCs w:val="24"/>
        </w:rPr>
        <w:t xml:space="preserve"> </w:t>
      </w:r>
      <w:proofErr w:type="spellStart"/>
      <w:r w:rsidRPr="00747269">
        <w:rPr>
          <w:sz w:val="24"/>
          <w:szCs w:val="24"/>
        </w:rPr>
        <w:t>studies</w:t>
      </w:r>
      <w:proofErr w:type="spellEnd"/>
      <w:r w:rsidRPr="00747269">
        <w:rPr>
          <w:sz w:val="24"/>
          <w:szCs w:val="24"/>
        </w:rPr>
        <w:t>)</w:t>
      </w:r>
    </w:p>
    <w:p w:rsidR="00747269" w:rsidRPr="00747269" w:rsidRDefault="00747269" w:rsidP="00747269">
      <w:pPr>
        <w:spacing w:after="0" w:line="240" w:lineRule="auto"/>
        <w:ind w:left="360"/>
        <w:jc w:val="both"/>
        <w:rPr>
          <w:sz w:val="24"/>
          <w:szCs w:val="24"/>
        </w:rPr>
      </w:pPr>
    </w:p>
    <w:p w:rsidR="00747269" w:rsidRPr="006F20AA" w:rsidRDefault="00747269" w:rsidP="00747269">
      <w:pPr>
        <w:spacing w:after="0" w:line="240" w:lineRule="auto"/>
        <w:jc w:val="both"/>
        <w:rPr>
          <w:b/>
          <w:bCs/>
          <w:sz w:val="24"/>
          <w:szCs w:val="24"/>
        </w:rPr>
      </w:pPr>
      <w:r w:rsidRPr="006F20AA">
        <w:rPr>
          <w:b/>
          <w:bCs/>
          <w:sz w:val="24"/>
          <w:szCs w:val="24"/>
        </w:rPr>
        <w:t xml:space="preserve">Unidad III: Problemas </w:t>
      </w:r>
      <w:r w:rsidR="006F20AA" w:rsidRPr="006F20AA">
        <w:rPr>
          <w:b/>
          <w:bCs/>
          <w:sz w:val="24"/>
          <w:szCs w:val="24"/>
        </w:rPr>
        <w:t>contemporáneos en y</w:t>
      </w:r>
      <w:r w:rsidRPr="006F20AA">
        <w:rPr>
          <w:b/>
          <w:bCs/>
          <w:sz w:val="24"/>
          <w:szCs w:val="24"/>
        </w:rPr>
        <w:t xml:space="preserve"> con la música</w:t>
      </w:r>
    </w:p>
    <w:p w:rsidR="00747269" w:rsidRPr="00747269" w:rsidRDefault="00747269" w:rsidP="00747269">
      <w:pPr>
        <w:pStyle w:val="Prrafodelista"/>
        <w:numPr>
          <w:ilvl w:val="0"/>
          <w:numId w:val="38"/>
        </w:numPr>
        <w:tabs>
          <w:tab w:val="num" w:pos="720"/>
        </w:tabs>
        <w:spacing w:after="0" w:line="240" w:lineRule="auto"/>
        <w:jc w:val="both"/>
        <w:rPr>
          <w:sz w:val="24"/>
          <w:szCs w:val="24"/>
        </w:rPr>
      </w:pPr>
      <w:r w:rsidRPr="00747269">
        <w:rPr>
          <w:sz w:val="24"/>
          <w:szCs w:val="24"/>
        </w:rPr>
        <w:t>Música y género (</w:t>
      </w:r>
      <w:proofErr w:type="spellStart"/>
      <w:r w:rsidRPr="00747269">
        <w:rPr>
          <w:sz w:val="24"/>
          <w:szCs w:val="24"/>
        </w:rPr>
        <w:t>McClary</w:t>
      </w:r>
      <w:proofErr w:type="spellEnd"/>
      <w:r w:rsidRPr="00747269">
        <w:rPr>
          <w:sz w:val="24"/>
          <w:szCs w:val="24"/>
        </w:rPr>
        <w:t>, Carozzi)</w:t>
      </w:r>
    </w:p>
    <w:p w:rsidR="00747269" w:rsidRDefault="00747269" w:rsidP="00747269">
      <w:pPr>
        <w:pStyle w:val="Prrafodelista"/>
        <w:numPr>
          <w:ilvl w:val="0"/>
          <w:numId w:val="38"/>
        </w:numPr>
        <w:tabs>
          <w:tab w:val="num" w:pos="720"/>
        </w:tabs>
        <w:spacing w:after="0" w:line="240" w:lineRule="auto"/>
        <w:jc w:val="both"/>
        <w:rPr>
          <w:sz w:val="24"/>
          <w:szCs w:val="24"/>
        </w:rPr>
      </w:pPr>
      <w:r w:rsidRPr="00747269">
        <w:rPr>
          <w:sz w:val="24"/>
          <w:szCs w:val="24"/>
        </w:rPr>
        <w:t>Música, tecnología y vida cotidiana (</w:t>
      </w:r>
      <w:proofErr w:type="spellStart"/>
      <w:r w:rsidRPr="00747269">
        <w:rPr>
          <w:sz w:val="24"/>
          <w:szCs w:val="24"/>
        </w:rPr>
        <w:t>DeNora</w:t>
      </w:r>
      <w:proofErr w:type="spellEnd"/>
      <w:r w:rsidRPr="00747269">
        <w:rPr>
          <w:sz w:val="24"/>
          <w:szCs w:val="24"/>
        </w:rPr>
        <w:t>)</w:t>
      </w:r>
    </w:p>
    <w:p w:rsidR="00887322" w:rsidRDefault="00887322" w:rsidP="00887322">
      <w:pPr>
        <w:tabs>
          <w:tab w:val="num" w:pos="720"/>
        </w:tabs>
        <w:spacing w:after="0" w:line="240" w:lineRule="auto"/>
        <w:jc w:val="both"/>
        <w:rPr>
          <w:sz w:val="24"/>
          <w:szCs w:val="24"/>
        </w:rPr>
      </w:pPr>
    </w:p>
    <w:p w:rsidR="00887322" w:rsidRPr="00887322" w:rsidRDefault="00887322" w:rsidP="00887322">
      <w:pPr>
        <w:spacing w:after="0" w:line="240" w:lineRule="auto"/>
        <w:jc w:val="both"/>
        <w:rPr>
          <w:b/>
          <w:bCs/>
          <w:sz w:val="24"/>
          <w:szCs w:val="24"/>
        </w:rPr>
      </w:pPr>
      <w:r w:rsidRPr="00887322">
        <w:rPr>
          <w:b/>
          <w:bCs/>
          <w:sz w:val="24"/>
          <w:szCs w:val="24"/>
        </w:rPr>
        <w:t>Unidad IV: Antropologías del Sonido</w:t>
      </w:r>
    </w:p>
    <w:p w:rsidR="00887322" w:rsidRDefault="00887322" w:rsidP="00887322">
      <w:pPr>
        <w:pStyle w:val="Prrafodelista"/>
        <w:numPr>
          <w:ilvl w:val="0"/>
          <w:numId w:val="38"/>
        </w:numPr>
        <w:tabs>
          <w:tab w:val="num" w:pos="720"/>
        </w:tabs>
        <w:spacing w:after="0" w:line="240" w:lineRule="auto"/>
        <w:jc w:val="both"/>
        <w:rPr>
          <w:sz w:val="24"/>
          <w:szCs w:val="24"/>
        </w:rPr>
      </w:pPr>
      <w:proofErr w:type="spellStart"/>
      <w:r w:rsidRPr="00747269">
        <w:rPr>
          <w:sz w:val="24"/>
          <w:szCs w:val="24"/>
        </w:rPr>
        <w:lastRenderedPageBreak/>
        <w:t>Ac</w:t>
      </w:r>
      <w:r>
        <w:rPr>
          <w:sz w:val="24"/>
          <w:szCs w:val="24"/>
        </w:rPr>
        <w:t>u</w:t>
      </w:r>
      <w:r w:rsidRPr="00747269">
        <w:rPr>
          <w:sz w:val="24"/>
          <w:szCs w:val="24"/>
        </w:rPr>
        <w:t>stemología</w:t>
      </w:r>
      <w:proofErr w:type="spellEnd"/>
      <w:r w:rsidRPr="00747269">
        <w:rPr>
          <w:sz w:val="24"/>
          <w:szCs w:val="24"/>
        </w:rPr>
        <w:t xml:space="preserve"> y paisaje sonoro (</w:t>
      </w:r>
      <w:proofErr w:type="spellStart"/>
      <w:r w:rsidRPr="00747269">
        <w:rPr>
          <w:sz w:val="24"/>
          <w:szCs w:val="24"/>
        </w:rPr>
        <w:t>Feld</w:t>
      </w:r>
      <w:proofErr w:type="spellEnd"/>
      <w:r w:rsidRPr="00747269">
        <w:rPr>
          <w:sz w:val="24"/>
          <w:szCs w:val="24"/>
        </w:rPr>
        <w:t>)</w:t>
      </w:r>
    </w:p>
    <w:p w:rsidR="00A53181" w:rsidRPr="00887322" w:rsidRDefault="00887322" w:rsidP="00887322">
      <w:pPr>
        <w:pStyle w:val="Prrafodelista"/>
        <w:numPr>
          <w:ilvl w:val="0"/>
          <w:numId w:val="38"/>
        </w:numPr>
        <w:tabs>
          <w:tab w:val="num" w:pos="720"/>
        </w:tabs>
        <w:spacing w:after="0" w:line="240" w:lineRule="auto"/>
        <w:jc w:val="both"/>
        <w:rPr>
          <w:sz w:val="24"/>
          <w:szCs w:val="24"/>
        </w:rPr>
      </w:pPr>
      <w:r w:rsidRPr="00887322">
        <w:rPr>
          <w:sz w:val="24"/>
          <w:szCs w:val="24"/>
        </w:rPr>
        <w:t>Sonido, archivo y poder (Ochoa Gautier)</w:t>
      </w:r>
    </w:p>
    <w:p w:rsidR="00747269" w:rsidRDefault="00747269" w:rsidP="00440716">
      <w:pPr>
        <w:spacing w:after="0" w:line="240" w:lineRule="auto"/>
        <w:jc w:val="both"/>
        <w:rPr>
          <w:i/>
          <w:color w:val="808080" w:themeColor="background1" w:themeShade="80"/>
          <w:sz w:val="24"/>
          <w:szCs w:val="24"/>
        </w:rPr>
      </w:pPr>
    </w:p>
    <w:p w:rsidR="006D091C" w:rsidRPr="00440716" w:rsidRDefault="006D091C" w:rsidP="00440716">
      <w:pPr>
        <w:numPr>
          <w:ilvl w:val="0"/>
          <w:numId w:val="36"/>
        </w:numPr>
        <w:shd w:val="clear" w:color="auto" w:fill="D9D9D9"/>
        <w:spacing w:after="0" w:line="240" w:lineRule="auto"/>
        <w:ind w:left="0" w:firstLine="0"/>
        <w:jc w:val="both"/>
        <w:rPr>
          <w:rFonts w:ascii="Calibri" w:eastAsia="Times New Roman" w:hAnsi="Calibri" w:cs="Calibri"/>
          <w:smallCaps/>
          <w:spacing w:val="54"/>
          <w:lang w:val="es-MX" w:eastAsia="es-ES"/>
        </w:rPr>
      </w:pPr>
      <w:r w:rsidRPr="00440716">
        <w:rPr>
          <w:rFonts w:ascii="Calibri" w:eastAsia="Times New Roman" w:hAnsi="Calibri" w:cs="Calibri"/>
          <w:smallCaps/>
          <w:spacing w:val="54"/>
          <w:lang w:val="es-MX" w:eastAsia="es-ES"/>
        </w:rPr>
        <w:t>M</w:t>
      </w:r>
      <w:r w:rsidR="00440716" w:rsidRPr="00440716">
        <w:rPr>
          <w:rFonts w:ascii="Calibri" w:eastAsia="Times New Roman" w:hAnsi="Calibri" w:cs="Calibri"/>
          <w:smallCaps/>
          <w:spacing w:val="54"/>
          <w:lang w:val="es-MX" w:eastAsia="es-ES"/>
        </w:rPr>
        <w:t>etodología</w:t>
      </w:r>
    </w:p>
    <w:p w:rsidR="00440716" w:rsidRDefault="00440716" w:rsidP="00440716">
      <w:pPr>
        <w:pStyle w:val="Prrafodelista"/>
        <w:spacing w:after="0" w:line="240" w:lineRule="auto"/>
        <w:ind w:left="1080"/>
        <w:jc w:val="both"/>
        <w:rPr>
          <w:i/>
          <w:color w:val="808080" w:themeColor="background1" w:themeShade="80"/>
          <w:sz w:val="24"/>
          <w:szCs w:val="24"/>
        </w:rPr>
      </w:pPr>
    </w:p>
    <w:p w:rsidR="006F20AA" w:rsidRPr="00A53181" w:rsidRDefault="006F20AA" w:rsidP="006F20AA">
      <w:pPr>
        <w:spacing w:after="0"/>
        <w:rPr>
          <w:iCs/>
          <w:sz w:val="24"/>
          <w:szCs w:val="24"/>
          <w:lang w:val="es-ES"/>
        </w:rPr>
      </w:pPr>
      <w:r w:rsidRPr="006F20AA">
        <w:rPr>
          <w:iCs/>
          <w:sz w:val="24"/>
          <w:szCs w:val="24"/>
          <w:lang w:val="es-ES"/>
        </w:rPr>
        <w:t>El curso combina clases expositivas del docente</w:t>
      </w:r>
      <w:r w:rsidR="00A53181">
        <w:rPr>
          <w:iCs/>
          <w:sz w:val="24"/>
          <w:szCs w:val="24"/>
          <w:lang w:val="es-ES"/>
        </w:rPr>
        <w:t xml:space="preserve"> y los/as estudiantes. </w:t>
      </w:r>
      <w:r w:rsidRPr="006F20AA">
        <w:rPr>
          <w:iCs/>
          <w:sz w:val="24"/>
          <w:szCs w:val="24"/>
          <w:lang w:val="es-ES"/>
        </w:rPr>
        <w:t xml:space="preserve"> </w:t>
      </w:r>
      <w:r w:rsidR="00A53181">
        <w:rPr>
          <w:iCs/>
          <w:sz w:val="24"/>
          <w:szCs w:val="24"/>
          <w:lang w:val="es-ES"/>
        </w:rPr>
        <w:t xml:space="preserve">Durante el </w:t>
      </w:r>
      <w:r w:rsidRPr="006F20AA">
        <w:rPr>
          <w:iCs/>
          <w:sz w:val="24"/>
          <w:szCs w:val="24"/>
          <w:lang w:val="es-ES"/>
        </w:rPr>
        <w:t>primer bloque de cada sesió</w:t>
      </w:r>
      <w:r w:rsidR="00A53181">
        <w:rPr>
          <w:iCs/>
          <w:sz w:val="24"/>
          <w:szCs w:val="24"/>
          <w:lang w:val="es-ES"/>
        </w:rPr>
        <w:t>n el docente presentará los conceptos centrales</w:t>
      </w:r>
      <w:r w:rsidRPr="006F20AA">
        <w:rPr>
          <w:iCs/>
          <w:sz w:val="24"/>
          <w:szCs w:val="24"/>
          <w:lang w:val="es-ES"/>
        </w:rPr>
        <w:t xml:space="preserve"> con instancias activas de participación estudiantil. </w:t>
      </w:r>
      <w:r w:rsidR="00A53181">
        <w:rPr>
          <w:iCs/>
          <w:sz w:val="24"/>
          <w:szCs w:val="24"/>
          <w:lang w:val="es-ES"/>
        </w:rPr>
        <w:t xml:space="preserve">El </w:t>
      </w:r>
      <w:r w:rsidRPr="006F20AA">
        <w:rPr>
          <w:iCs/>
          <w:sz w:val="24"/>
          <w:szCs w:val="24"/>
          <w:lang w:val="es-ES"/>
        </w:rPr>
        <w:t>segundo bloque incluye una exposición breve del docente (30 minutos) seguida de presentaciones de estudiantes sobre textos clave o casos empíricos. Se utilizarán recursos sonoros, audiovisuales y lecturas complementarias para fomentar el análisis crítico. La última parte del curso está destinada al desarrollo y presentación de investigaciones empíricas</w:t>
      </w:r>
      <w:r w:rsidR="00A53181">
        <w:rPr>
          <w:iCs/>
          <w:sz w:val="24"/>
          <w:szCs w:val="24"/>
          <w:lang w:val="es-ES"/>
        </w:rPr>
        <w:t xml:space="preserve"> o ensayos por los estudiantes. </w:t>
      </w:r>
    </w:p>
    <w:p w:rsidR="006F20AA" w:rsidRDefault="006F20AA" w:rsidP="00440716">
      <w:pPr>
        <w:pStyle w:val="Prrafodelista"/>
        <w:spacing w:after="0" w:line="240" w:lineRule="auto"/>
        <w:ind w:left="0"/>
        <w:jc w:val="both"/>
        <w:rPr>
          <w:i/>
          <w:color w:val="808080" w:themeColor="background1" w:themeShade="80"/>
          <w:sz w:val="24"/>
          <w:szCs w:val="24"/>
        </w:rPr>
      </w:pPr>
    </w:p>
    <w:p w:rsidR="007C19BD" w:rsidRDefault="007C19BD" w:rsidP="007C19BD">
      <w:pPr>
        <w:spacing w:after="0" w:line="240" w:lineRule="auto"/>
        <w:jc w:val="both"/>
        <w:rPr>
          <w:b/>
          <w:bCs/>
          <w:sz w:val="24"/>
          <w:szCs w:val="24"/>
        </w:rPr>
      </w:pPr>
    </w:p>
    <w:p w:rsidR="006D091C" w:rsidRPr="00440716" w:rsidRDefault="00440716" w:rsidP="00440716">
      <w:pPr>
        <w:numPr>
          <w:ilvl w:val="0"/>
          <w:numId w:val="36"/>
        </w:numPr>
        <w:shd w:val="clear" w:color="auto" w:fill="D9D9D9"/>
        <w:spacing w:after="0" w:line="240" w:lineRule="auto"/>
        <w:ind w:left="0" w:firstLine="0"/>
        <w:jc w:val="both"/>
        <w:rPr>
          <w:rFonts w:ascii="Calibri" w:eastAsia="Times New Roman" w:hAnsi="Calibri" w:cs="Calibri"/>
          <w:smallCaps/>
          <w:spacing w:val="54"/>
          <w:lang w:val="es-MX" w:eastAsia="es-ES"/>
        </w:rPr>
      </w:pPr>
      <w:r w:rsidRPr="00440716">
        <w:rPr>
          <w:rFonts w:ascii="Calibri" w:eastAsia="Times New Roman" w:hAnsi="Calibri" w:cs="Calibri"/>
          <w:smallCaps/>
          <w:spacing w:val="54"/>
          <w:lang w:val="es-MX" w:eastAsia="es-ES"/>
        </w:rPr>
        <w:t>Evaluación</w:t>
      </w:r>
      <w:r w:rsidR="00740F28">
        <w:rPr>
          <w:rFonts w:ascii="Calibri" w:eastAsia="Times New Roman" w:hAnsi="Calibri" w:cs="Calibri"/>
          <w:smallCaps/>
          <w:spacing w:val="54"/>
          <w:lang w:val="es-MX" w:eastAsia="es-ES"/>
        </w:rPr>
        <w:t xml:space="preserve"> de aprendizajes</w:t>
      </w:r>
    </w:p>
    <w:p w:rsidR="006F20AA" w:rsidRDefault="006F20AA" w:rsidP="00440716">
      <w:pPr>
        <w:jc w:val="both"/>
        <w:rPr>
          <w:rFonts w:ascii="Calibri" w:hAnsi="Calibri" w:cs="Calibri"/>
          <w:bCs/>
          <w:i/>
          <w:color w:val="808080"/>
        </w:rPr>
      </w:pPr>
    </w:p>
    <w:p w:rsidR="003175C6" w:rsidRPr="003175C6" w:rsidRDefault="003175C6" w:rsidP="003175C6">
      <w:pPr>
        <w:jc w:val="both"/>
        <w:rPr>
          <w:b/>
          <w:bCs/>
          <w:iCs/>
          <w:sz w:val="24"/>
          <w:szCs w:val="24"/>
          <w:lang w:val="es-ES"/>
        </w:rPr>
      </w:pPr>
      <w:r w:rsidRPr="003175C6">
        <w:rPr>
          <w:b/>
          <w:bCs/>
          <w:iCs/>
          <w:sz w:val="24"/>
          <w:szCs w:val="24"/>
          <w:lang w:val="es-ES"/>
        </w:rPr>
        <w:t>1. Presentación oral de texto (20%)</w:t>
      </w:r>
      <w:r w:rsidRPr="003175C6">
        <w:rPr>
          <w:b/>
          <w:bCs/>
          <w:iCs/>
          <w:sz w:val="24"/>
          <w:szCs w:val="24"/>
          <w:lang w:val="es-ES"/>
        </w:rPr>
        <w:br/>
      </w:r>
      <w:r w:rsidRPr="003175C6">
        <w:rPr>
          <w:iCs/>
          <w:sz w:val="24"/>
          <w:szCs w:val="24"/>
          <w:lang w:val="es-ES"/>
        </w:rPr>
        <w:t>Cada estudiante deberá exponer un texto teórico o un artículo de la bibliografía optativa durante el segundo bloque de una sesión. La presentación debe incluir el argumento central, el contexto del autor, los conceptos claves y su articulación con un caso o ejemplo. Se entregará además una ficha de lectura.</w:t>
      </w:r>
    </w:p>
    <w:p w:rsidR="003175C6" w:rsidRPr="003175C6" w:rsidRDefault="003175C6" w:rsidP="003175C6">
      <w:pPr>
        <w:rPr>
          <w:b/>
          <w:bCs/>
          <w:iCs/>
          <w:sz w:val="24"/>
          <w:szCs w:val="24"/>
          <w:lang w:val="es-ES"/>
        </w:rPr>
      </w:pPr>
      <w:r w:rsidRPr="003175C6">
        <w:rPr>
          <w:b/>
          <w:bCs/>
          <w:iCs/>
          <w:sz w:val="24"/>
          <w:szCs w:val="24"/>
          <w:lang w:val="es-ES"/>
        </w:rPr>
        <w:t>2. Trabajo intermedio (20%)</w:t>
      </w:r>
      <w:r w:rsidRPr="003175C6">
        <w:rPr>
          <w:b/>
          <w:bCs/>
          <w:iCs/>
          <w:sz w:val="24"/>
          <w:szCs w:val="24"/>
          <w:lang w:val="es-ES"/>
        </w:rPr>
        <w:br/>
      </w:r>
      <w:r w:rsidRPr="003175C6">
        <w:rPr>
          <w:iCs/>
          <w:sz w:val="24"/>
          <w:szCs w:val="24"/>
          <w:lang w:val="es-ES"/>
        </w:rPr>
        <w:t>Consistirá en un ensayo o en un avance de investigación empírica de al menos 3000 palabras. Deberá incluir pregunta, justificación, un breve estado del arte (mínimo tres referencias), descripción del corpus, marco conceptual</w:t>
      </w:r>
      <w:r w:rsidR="00264274">
        <w:rPr>
          <w:iCs/>
          <w:sz w:val="24"/>
          <w:szCs w:val="24"/>
          <w:lang w:val="es-ES"/>
        </w:rPr>
        <w:t>,</w:t>
      </w:r>
      <w:r w:rsidRPr="003175C6">
        <w:rPr>
          <w:iCs/>
          <w:sz w:val="24"/>
          <w:szCs w:val="24"/>
          <w:lang w:val="es-ES"/>
        </w:rPr>
        <w:t xml:space="preserve"> aproximación teórica o metodológica</w:t>
      </w:r>
      <w:r w:rsidR="00264274">
        <w:rPr>
          <w:iCs/>
          <w:sz w:val="24"/>
          <w:szCs w:val="24"/>
          <w:lang w:val="es-ES"/>
        </w:rPr>
        <w:t xml:space="preserve"> y bibliografía.</w:t>
      </w:r>
    </w:p>
    <w:p w:rsidR="003175C6" w:rsidRPr="003175C6" w:rsidRDefault="003175C6" w:rsidP="003175C6">
      <w:pPr>
        <w:rPr>
          <w:iCs/>
          <w:sz w:val="24"/>
          <w:szCs w:val="24"/>
          <w:lang w:val="es-ES"/>
        </w:rPr>
      </w:pPr>
      <w:r w:rsidRPr="003175C6">
        <w:rPr>
          <w:b/>
          <w:bCs/>
          <w:iCs/>
          <w:sz w:val="24"/>
          <w:szCs w:val="24"/>
          <w:lang w:val="es-ES"/>
        </w:rPr>
        <w:t>3. Trabajo final (50%)</w:t>
      </w:r>
      <w:r w:rsidRPr="003175C6">
        <w:rPr>
          <w:b/>
          <w:bCs/>
          <w:iCs/>
          <w:sz w:val="24"/>
          <w:szCs w:val="24"/>
          <w:lang w:val="es-ES"/>
        </w:rPr>
        <w:br/>
      </w:r>
      <w:r w:rsidRPr="003175C6">
        <w:rPr>
          <w:iCs/>
          <w:sz w:val="24"/>
          <w:szCs w:val="24"/>
          <w:lang w:val="es-ES"/>
        </w:rPr>
        <w:t>Se desarrollará a partir del trabajo intermedio y podrá consistir en una investigación empírica o en un ensayo crítico. Tendrá una extensión mínima de 6000 palabras e integrará teoría y análisis (etnografía, archivos, entrevistas o bibliografía especializada). Será presentado oralmente en la última clase.</w:t>
      </w:r>
    </w:p>
    <w:p w:rsidR="003175C6" w:rsidRPr="003175C6" w:rsidRDefault="003175C6" w:rsidP="003175C6">
      <w:pPr>
        <w:rPr>
          <w:iCs/>
          <w:sz w:val="24"/>
          <w:szCs w:val="24"/>
          <w:lang w:val="es-ES"/>
        </w:rPr>
      </w:pPr>
      <w:r w:rsidRPr="003175C6">
        <w:rPr>
          <w:b/>
          <w:bCs/>
          <w:iCs/>
          <w:sz w:val="24"/>
          <w:szCs w:val="24"/>
          <w:lang w:val="es-ES"/>
        </w:rPr>
        <w:t>4. Asistencia y participación (10%)</w:t>
      </w:r>
      <w:r w:rsidRPr="003175C6">
        <w:rPr>
          <w:b/>
          <w:bCs/>
          <w:iCs/>
          <w:sz w:val="24"/>
          <w:szCs w:val="24"/>
          <w:lang w:val="es-ES"/>
        </w:rPr>
        <w:br/>
      </w:r>
      <w:bookmarkStart w:id="0" w:name="_Hlk206336892"/>
      <w:r w:rsidRPr="003175C6">
        <w:rPr>
          <w:iCs/>
          <w:sz w:val="24"/>
          <w:szCs w:val="24"/>
          <w:lang w:val="es-ES"/>
        </w:rPr>
        <w:t>Este ítem se divide en dos partes: la asistencia equivale al 5%, se registra en cada sesión y exige un mínimo de 70% para aprobar</w:t>
      </w:r>
      <w:r>
        <w:rPr>
          <w:iCs/>
          <w:sz w:val="24"/>
          <w:szCs w:val="24"/>
          <w:lang w:val="es-ES"/>
        </w:rPr>
        <w:t xml:space="preserve">. </w:t>
      </w:r>
      <w:r w:rsidRPr="003175C6">
        <w:rPr>
          <w:iCs/>
          <w:sz w:val="24"/>
          <w:szCs w:val="24"/>
          <w:lang w:val="es-ES"/>
        </w:rPr>
        <w:t xml:space="preserve">La participación equivale al 5% restante y se evaluará </w:t>
      </w:r>
      <w:r>
        <w:rPr>
          <w:iCs/>
          <w:sz w:val="24"/>
          <w:szCs w:val="24"/>
          <w:lang w:val="es-ES"/>
        </w:rPr>
        <w:t>considerando las</w:t>
      </w:r>
      <w:r w:rsidRPr="003175C6">
        <w:rPr>
          <w:iCs/>
          <w:sz w:val="24"/>
          <w:szCs w:val="24"/>
          <w:lang w:val="es-ES"/>
        </w:rPr>
        <w:t xml:space="preserve"> intervenciones</w:t>
      </w:r>
      <w:r>
        <w:rPr>
          <w:iCs/>
          <w:sz w:val="24"/>
          <w:szCs w:val="24"/>
          <w:lang w:val="es-ES"/>
        </w:rPr>
        <w:t xml:space="preserve"> en clases</w:t>
      </w:r>
      <w:r w:rsidRPr="003175C6">
        <w:rPr>
          <w:iCs/>
          <w:sz w:val="24"/>
          <w:szCs w:val="24"/>
          <w:lang w:val="es-ES"/>
        </w:rPr>
        <w:t xml:space="preserve">, esperando al menos una por </w:t>
      </w:r>
      <w:r>
        <w:rPr>
          <w:iCs/>
          <w:sz w:val="24"/>
          <w:szCs w:val="24"/>
          <w:lang w:val="es-ES"/>
        </w:rPr>
        <w:t xml:space="preserve">clase (2 bloques </w:t>
      </w:r>
      <w:r w:rsidRPr="003175C6">
        <w:rPr>
          <w:iCs/>
          <w:sz w:val="24"/>
          <w:szCs w:val="24"/>
          <w:lang w:val="es-ES"/>
        </w:rPr>
        <w:t>temático</w:t>
      </w:r>
      <w:r>
        <w:rPr>
          <w:iCs/>
          <w:sz w:val="24"/>
          <w:szCs w:val="24"/>
          <w:lang w:val="es-ES"/>
        </w:rPr>
        <w:t>s)</w:t>
      </w:r>
      <w:r w:rsidRPr="003175C6">
        <w:rPr>
          <w:iCs/>
          <w:sz w:val="24"/>
          <w:szCs w:val="24"/>
          <w:lang w:val="es-ES"/>
        </w:rPr>
        <w:t>.</w:t>
      </w:r>
      <w:bookmarkEnd w:id="0"/>
    </w:p>
    <w:p w:rsidR="006F20AA" w:rsidRPr="003175C6" w:rsidRDefault="006F20AA" w:rsidP="00440716">
      <w:pPr>
        <w:jc w:val="both"/>
        <w:rPr>
          <w:rFonts w:ascii="Calibri" w:hAnsi="Calibri" w:cs="Calibri"/>
          <w:bCs/>
          <w:i/>
          <w:color w:val="808080"/>
          <w:lang w:val="es-ES"/>
        </w:rPr>
      </w:pPr>
    </w:p>
    <w:p w:rsidR="006D091C" w:rsidRPr="00440716" w:rsidRDefault="006D091C" w:rsidP="00440716">
      <w:pPr>
        <w:numPr>
          <w:ilvl w:val="0"/>
          <w:numId w:val="36"/>
        </w:numPr>
        <w:shd w:val="clear" w:color="auto" w:fill="D9D9D9"/>
        <w:spacing w:after="0" w:line="240" w:lineRule="auto"/>
        <w:ind w:left="0" w:firstLine="0"/>
        <w:jc w:val="both"/>
        <w:rPr>
          <w:rFonts w:ascii="Calibri" w:eastAsia="Times New Roman" w:hAnsi="Calibri" w:cs="Calibri"/>
          <w:smallCaps/>
          <w:spacing w:val="54"/>
          <w:lang w:val="es-MX" w:eastAsia="es-ES"/>
        </w:rPr>
      </w:pPr>
      <w:r w:rsidRPr="00440716">
        <w:rPr>
          <w:rFonts w:ascii="Calibri" w:eastAsia="Times New Roman" w:hAnsi="Calibri" w:cs="Calibri"/>
          <w:smallCaps/>
          <w:spacing w:val="54"/>
          <w:lang w:val="es-MX" w:eastAsia="es-ES"/>
        </w:rPr>
        <w:lastRenderedPageBreak/>
        <w:t>Recursos Pedagógicos</w:t>
      </w:r>
    </w:p>
    <w:p w:rsidR="006D091C" w:rsidRDefault="006D091C" w:rsidP="007C19BD">
      <w:pPr>
        <w:spacing w:after="0" w:line="240" w:lineRule="auto"/>
        <w:jc w:val="both"/>
        <w:rPr>
          <w:i/>
          <w:sz w:val="20"/>
          <w:szCs w:val="20"/>
        </w:rPr>
      </w:pPr>
    </w:p>
    <w:p w:rsidR="000D13DB" w:rsidRPr="00614FC1" w:rsidRDefault="000D13DB" w:rsidP="000D13DB">
      <w:pPr>
        <w:spacing w:after="0" w:line="240" w:lineRule="auto"/>
        <w:jc w:val="both"/>
        <w:rPr>
          <w:rFonts w:cs="Arial"/>
          <w:b/>
          <w:sz w:val="24"/>
          <w:szCs w:val="24"/>
          <w:lang w:val="es-MX"/>
        </w:rPr>
      </w:pPr>
      <w:r w:rsidRPr="00614FC1">
        <w:rPr>
          <w:rFonts w:cs="Arial"/>
          <w:b/>
          <w:sz w:val="24"/>
          <w:szCs w:val="24"/>
          <w:lang w:val="es-MX"/>
        </w:rPr>
        <w:t xml:space="preserve">Bibliografía </w:t>
      </w:r>
      <w:r>
        <w:rPr>
          <w:rFonts w:cs="Arial"/>
          <w:b/>
          <w:sz w:val="24"/>
          <w:szCs w:val="24"/>
          <w:lang w:val="es-MX"/>
        </w:rPr>
        <w:t>básica</w:t>
      </w:r>
    </w:p>
    <w:p w:rsidR="000D13DB" w:rsidRDefault="000D13DB" w:rsidP="00830AC6">
      <w:pPr>
        <w:spacing w:line="240" w:lineRule="auto"/>
        <w:jc w:val="both"/>
        <w:rPr>
          <w:rFonts w:cs="Arial"/>
          <w:sz w:val="24"/>
          <w:szCs w:val="24"/>
          <w:lang w:val="es-MX"/>
        </w:rPr>
      </w:pPr>
    </w:p>
    <w:p w:rsidR="00830AC6" w:rsidRDefault="00830AC6" w:rsidP="00830AC6">
      <w:pPr>
        <w:pStyle w:val="Bibliografa"/>
        <w:rPr>
          <w:rFonts w:ascii="Calibri" w:hAnsi="Calibri" w:cs="Calibri"/>
          <w:sz w:val="24"/>
          <w:lang w:val="en-US"/>
        </w:rPr>
      </w:pPr>
      <w:r w:rsidRPr="00830AC6">
        <w:rPr>
          <w:rFonts w:ascii="Calibri" w:hAnsi="Calibri" w:cs="Calibri"/>
          <w:sz w:val="24"/>
        </w:rPr>
        <w:t xml:space="preserve">Cruces Villalobos (Ed.). (2001). </w:t>
      </w:r>
      <w:r w:rsidRPr="00830AC6">
        <w:rPr>
          <w:rFonts w:ascii="Calibri" w:hAnsi="Calibri" w:cs="Calibri"/>
          <w:i/>
          <w:iCs/>
          <w:sz w:val="24"/>
        </w:rPr>
        <w:t>Las culturas musicales: Lecturas de etnomusicología</w:t>
      </w:r>
      <w:r w:rsidRPr="00830AC6">
        <w:rPr>
          <w:rFonts w:ascii="Calibri" w:hAnsi="Calibri" w:cs="Calibri"/>
          <w:sz w:val="24"/>
        </w:rPr>
        <w:t xml:space="preserve"> (1. </w:t>
      </w:r>
      <w:proofErr w:type="spellStart"/>
      <w:r w:rsidRPr="00830AC6">
        <w:rPr>
          <w:rFonts w:ascii="Calibri" w:hAnsi="Calibri" w:cs="Calibri"/>
          <w:sz w:val="24"/>
        </w:rPr>
        <w:t>ed</w:t>
      </w:r>
      <w:proofErr w:type="spellEnd"/>
      <w:r w:rsidRPr="00830AC6">
        <w:rPr>
          <w:rFonts w:ascii="Calibri" w:hAnsi="Calibri" w:cs="Calibri"/>
          <w:sz w:val="24"/>
        </w:rPr>
        <w:t xml:space="preserve">). </w:t>
      </w:r>
      <w:r w:rsidRPr="00830AC6">
        <w:rPr>
          <w:rFonts w:ascii="Calibri" w:hAnsi="Calibri" w:cs="Calibri"/>
          <w:sz w:val="24"/>
          <w:lang w:val="en-US"/>
        </w:rPr>
        <w:t>Ed. Trotta.</w:t>
      </w:r>
    </w:p>
    <w:p w:rsidR="00830AC6" w:rsidRPr="00F50194" w:rsidRDefault="00830AC6" w:rsidP="00830AC6">
      <w:pPr>
        <w:pStyle w:val="Bibliografa"/>
        <w:rPr>
          <w:rFonts w:ascii="Calibri" w:hAnsi="Calibri" w:cs="Calibri"/>
          <w:sz w:val="24"/>
          <w:lang w:val="en-US"/>
        </w:rPr>
      </w:pPr>
      <w:r w:rsidRPr="00F50194">
        <w:rPr>
          <w:rFonts w:ascii="Calibri" w:hAnsi="Calibri" w:cs="Calibri"/>
          <w:sz w:val="24"/>
          <w:lang w:val="en-US"/>
        </w:rPr>
        <w:t xml:space="preserve">Hennion, A. (2002). </w:t>
      </w:r>
      <w:r w:rsidRPr="00F50194">
        <w:rPr>
          <w:rFonts w:ascii="Calibri" w:hAnsi="Calibri" w:cs="Calibri"/>
          <w:i/>
          <w:iCs/>
          <w:sz w:val="24"/>
          <w:lang w:val="en-US"/>
        </w:rPr>
        <w:t xml:space="preserve">La </w:t>
      </w:r>
      <w:proofErr w:type="spellStart"/>
      <w:r w:rsidRPr="00F50194">
        <w:rPr>
          <w:rFonts w:ascii="Calibri" w:hAnsi="Calibri" w:cs="Calibri"/>
          <w:i/>
          <w:iCs/>
          <w:sz w:val="24"/>
          <w:lang w:val="en-US"/>
        </w:rPr>
        <w:t>pasión</w:t>
      </w:r>
      <w:proofErr w:type="spellEnd"/>
      <w:r w:rsidRPr="00F50194">
        <w:rPr>
          <w:rFonts w:ascii="Calibri" w:hAnsi="Calibri" w:cs="Calibri"/>
          <w:i/>
          <w:iCs/>
          <w:sz w:val="24"/>
          <w:lang w:val="en-US"/>
        </w:rPr>
        <w:t xml:space="preserve"> musical</w:t>
      </w:r>
      <w:r w:rsidRPr="00F50194">
        <w:rPr>
          <w:rFonts w:ascii="Calibri" w:hAnsi="Calibri" w:cs="Calibri"/>
          <w:sz w:val="24"/>
          <w:lang w:val="en-US"/>
        </w:rPr>
        <w:t xml:space="preserve">. </w:t>
      </w:r>
      <w:proofErr w:type="spellStart"/>
      <w:r w:rsidRPr="00F50194">
        <w:rPr>
          <w:rFonts w:ascii="Calibri" w:hAnsi="Calibri" w:cs="Calibri"/>
          <w:sz w:val="24"/>
          <w:lang w:val="en-US"/>
        </w:rPr>
        <w:t>Paidós</w:t>
      </w:r>
      <w:proofErr w:type="spellEnd"/>
      <w:r w:rsidRPr="00F50194">
        <w:rPr>
          <w:rFonts w:ascii="Calibri" w:hAnsi="Calibri" w:cs="Calibri"/>
          <w:sz w:val="24"/>
          <w:lang w:val="en-US"/>
        </w:rPr>
        <w:t>.</w:t>
      </w:r>
    </w:p>
    <w:p w:rsidR="00830AC6" w:rsidRPr="00F44F1E" w:rsidRDefault="00830AC6" w:rsidP="00F44F1E">
      <w:pPr>
        <w:pStyle w:val="Bibliografa"/>
        <w:rPr>
          <w:rFonts w:ascii="Calibri" w:hAnsi="Calibri" w:cs="Calibri"/>
          <w:sz w:val="24"/>
        </w:rPr>
      </w:pPr>
      <w:r w:rsidRPr="00830AC6">
        <w:rPr>
          <w:rFonts w:ascii="Calibri" w:hAnsi="Calibri" w:cs="Calibri"/>
          <w:sz w:val="24"/>
          <w:lang w:val="en-US"/>
        </w:rPr>
        <w:t xml:space="preserve">Shepherd, J., &amp; Devine, K. (Eds.). (2015). </w:t>
      </w:r>
      <w:r w:rsidRPr="00830AC6">
        <w:rPr>
          <w:rFonts w:ascii="Calibri" w:hAnsi="Calibri" w:cs="Calibri"/>
          <w:i/>
          <w:iCs/>
          <w:sz w:val="24"/>
          <w:lang w:val="en-US"/>
        </w:rPr>
        <w:t>The Routledge reader on the sociology of music</w:t>
      </w:r>
      <w:r w:rsidRPr="00830AC6">
        <w:rPr>
          <w:rFonts w:ascii="Calibri" w:hAnsi="Calibri" w:cs="Calibri"/>
          <w:sz w:val="24"/>
          <w:lang w:val="en-US"/>
        </w:rPr>
        <w:t xml:space="preserve">. </w:t>
      </w:r>
      <w:r w:rsidRPr="00830AC6">
        <w:rPr>
          <w:rFonts w:ascii="Calibri" w:hAnsi="Calibri" w:cs="Calibri"/>
          <w:sz w:val="24"/>
        </w:rPr>
        <w:t>Routledge</w:t>
      </w:r>
      <w:r w:rsidR="00A53181">
        <w:rPr>
          <w:rFonts w:ascii="Calibri" w:hAnsi="Calibri" w:cs="Calibri"/>
          <w:sz w:val="24"/>
        </w:rPr>
        <w:t xml:space="preserve"> (traducción en español). </w:t>
      </w:r>
    </w:p>
    <w:p w:rsidR="00830AC6" w:rsidRDefault="00830AC6" w:rsidP="00830AC6">
      <w:pPr>
        <w:spacing w:line="240" w:lineRule="auto"/>
        <w:jc w:val="both"/>
        <w:rPr>
          <w:rFonts w:cs="Arial"/>
          <w:sz w:val="24"/>
          <w:szCs w:val="24"/>
          <w:lang w:val="es-MX"/>
        </w:rPr>
      </w:pPr>
    </w:p>
    <w:p w:rsidR="00830AC6" w:rsidRPr="00830AC6" w:rsidRDefault="000D13DB" w:rsidP="00830AC6">
      <w:pPr>
        <w:spacing w:after="0" w:line="240" w:lineRule="auto"/>
        <w:jc w:val="both"/>
        <w:rPr>
          <w:rFonts w:cs="Arial"/>
          <w:b/>
          <w:sz w:val="24"/>
          <w:szCs w:val="24"/>
          <w:lang w:val="es-MX"/>
        </w:rPr>
      </w:pPr>
      <w:r w:rsidRPr="00614FC1">
        <w:rPr>
          <w:rFonts w:cs="Arial"/>
          <w:b/>
          <w:sz w:val="24"/>
          <w:szCs w:val="24"/>
          <w:lang w:val="es-MX"/>
        </w:rPr>
        <w:t>Bibliografía complementaria</w:t>
      </w:r>
    </w:p>
    <w:p w:rsidR="00830AC6" w:rsidRPr="00830AC6" w:rsidRDefault="00830AC6" w:rsidP="00830AC6">
      <w:pPr>
        <w:pStyle w:val="Bibliografa"/>
        <w:rPr>
          <w:rFonts w:ascii="Calibri" w:hAnsi="Calibri" w:cs="Calibri"/>
          <w:sz w:val="24"/>
        </w:rPr>
      </w:pPr>
      <w:r>
        <w:rPr>
          <w:b/>
          <w:bCs/>
          <w:sz w:val="24"/>
          <w:szCs w:val="24"/>
        </w:rPr>
        <w:fldChar w:fldCharType="begin"/>
      </w:r>
      <w:r>
        <w:rPr>
          <w:b/>
          <w:bCs/>
          <w:sz w:val="24"/>
          <w:szCs w:val="24"/>
        </w:rPr>
        <w:instrText xml:space="preserve"> ADDIN ZOTERO_BIBL {"uncited":[],"omitted":[],"custom":[]} CSL_BIBLIOGRAPHY </w:instrText>
      </w:r>
      <w:r>
        <w:rPr>
          <w:b/>
          <w:bCs/>
          <w:sz w:val="24"/>
          <w:szCs w:val="24"/>
        </w:rPr>
        <w:fldChar w:fldCharType="separate"/>
      </w:r>
      <w:r w:rsidRPr="00830AC6">
        <w:rPr>
          <w:rFonts w:ascii="Calibri" w:hAnsi="Calibri" w:cs="Calibri"/>
          <w:sz w:val="24"/>
        </w:rPr>
        <w:t xml:space="preserve">Becker, H. (2008). </w:t>
      </w:r>
      <w:r w:rsidRPr="00830AC6">
        <w:rPr>
          <w:rFonts w:ascii="Calibri" w:hAnsi="Calibri" w:cs="Calibri"/>
          <w:i/>
          <w:iCs/>
          <w:sz w:val="24"/>
        </w:rPr>
        <w:t>Los mundos del arte. Sociología del trabajo artístico</w:t>
      </w:r>
      <w:r w:rsidRPr="00830AC6">
        <w:rPr>
          <w:rFonts w:ascii="Calibri" w:hAnsi="Calibri" w:cs="Calibri"/>
          <w:sz w:val="24"/>
        </w:rPr>
        <w:t>. Universidad Nacional de Quilmes.</w:t>
      </w:r>
    </w:p>
    <w:p w:rsidR="00830AC6" w:rsidRPr="00830AC6" w:rsidRDefault="00830AC6" w:rsidP="00830AC6">
      <w:pPr>
        <w:pStyle w:val="Bibliografa"/>
        <w:rPr>
          <w:rFonts w:ascii="Calibri" w:hAnsi="Calibri" w:cs="Calibri"/>
          <w:sz w:val="24"/>
          <w:lang w:val="en-US"/>
        </w:rPr>
      </w:pPr>
      <w:r w:rsidRPr="00830AC6">
        <w:rPr>
          <w:rFonts w:ascii="Calibri" w:hAnsi="Calibri" w:cs="Calibri"/>
          <w:sz w:val="24"/>
        </w:rPr>
        <w:t xml:space="preserve">Blacking, J. (2006). </w:t>
      </w:r>
      <w:r w:rsidRPr="00830AC6">
        <w:rPr>
          <w:rFonts w:ascii="Calibri" w:hAnsi="Calibri" w:cs="Calibri"/>
          <w:i/>
          <w:iCs/>
          <w:sz w:val="24"/>
        </w:rPr>
        <w:t>¿Hay música en el hombre?</w:t>
      </w:r>
      <w:r w:rsidRPr="00830AC6">
        <w:rPr>
          <w:rFonts w:ascii="Calibri" w:hAnsi="Calibri" w:cs="Calibri"/>
          <w:sz w:val="24"/>
        </w:rPr>
        <w:t xml:space="preserve"> </w:t>
      </w:r>
      <w:r w:rsidRPr="00830AC6">
        <w:rPr>
          <w:rFonts w:ascii="Calibri" w:hAnsi="Calibri" w:cs="Calibri"/>
          <w:sz w:val="24"/>
          <w:lang w:val="en-US"/>
        </w:rPr>
        <w:t>Alianza Editorial.</w:t>
      </w:r>
    </w:p>
    <w:p w:rsidR="00830AC6" w:rsidRPr="00830AC6" w:rsidRDefault="00830AC6" w:rsidP="00830AC6">
      <w:pPr>
        <w:pStyle w:val="Bibliografa"/>
        <w:rPr>
          <w:rFonts w:ascii="Calibri" w:hAnsi="Calibri" w:cs="Calibri"/>
          <w:sz w:val="24"/>
        </w:rPr>
      </w:pPr>
      <w:r w:rsidRPr="00830AC6">
        <w:rPr>
          <w:rFonts w:ascii="Calibri" w:hAnsi="Calibri" w:cs="Calibri"/>
          <w:sz w:val="24"/>
          <w:lang w:val="en-US"/>
        </w:rPr>
        <w:t xml:space="preserve">Born, G. (2005). On Musical Mediation: Ontology, Technology and Creativity. </w:t>
      </w:r>
      <w:r w:rsidRPr="00830AC6">
        <w:rPr>
          <w:rFonts w:ascii="Calibri" w:hAnsi="Calibri" w:cs="Calibri"/>
          <w:i/>
          <w:iCs/>
          <w:sz w:val="24"/>
        </w:rPr>
        <w:t>Twentieth-Century Music</w:t>
      </w:r>
      <w:r w:rsidRPr="00830AC6">
        <w:rPr>
          <w:rFonts w:ascii="Calibri" w:hAnsi="Calibri" w:cs="Calibri"/>
          <w:sz w:val="24"/>
        </w:rPr>
        <w:t xml:space="preserve">, </w:t>
      </w:r>
      <w:r w:rsidRPr="00830AC6">
        <w:rPr>
          <w:rFonts w:ascii="Calibri" w:hAnsi="Calibri" w:cs="Calibri"/>
          <w:i/>
          <w:iCs/>
          <w:sz w:val="24"/>
        </w:rPr>
        <w:t>2</w:t>
      </w:r>
      <w:r w:rsidRPr="00830AC6">
        <w:rPr>
          <w:rFonts w:ascii="Calibri" w:hAnsi="Calibri" w:cs="Calibri"/>
          <w:sz w:val="24"/>
        </w:rPr>
        <w:t>(1), 7–36. https://doi.org/10.1017/S147857220500023X</w:t>
      </w:r>
    </w:p>
    <w:p w:rsidR="00830AC6" w:rsidRPr="00F50194" w:rsidRDefault="00830AC6" w:rsidP="00830AC6">
      <w:pPr>
        <w:pStyle w:val="Bibliografa"/>
        <w:rPr>
          <w:rFonts w:ascii="Calibri" w:hAnsi="Calibri" w:cs="Calibri"/>
          <w:sz w:val="24"/>
          <w:lang w:val="en-US"/>
        </w:rPr>
      </w:pPr>
      <w:r w:rsidRPr="00830AC6">
        <w:rPr>
          <w:rFonts w:ascii="Calibri" w:hAnsi="Calibri" w:cs="Calibri"/>
          <w:sz w:val="24"/>
        </w:rPr>
        <w:t xml:space="preserve">Bourdieu, P. (2006). </w:t>
      </w:r>
      <w:r w:rsidRPr="00830AC6">
        <w:rPr>
          <w:rFonts w:ascii="Calibri" w:hAnsi="Calibri" w:cs="Calibri"/>
          <w:i/>
          <w:iCs/>
          <w:sz w:val="24"/>
        </w:rPr>
        <w:t>La distinción: Criterios y bases sociales del gusto</w:t>
      </w:r>
      <w:r w:rsidRPr="00830AC6">
        <w:rPr>
          <w:rFonts w:ascii="Calibri" w:hAnsi="Calibri" w:cs="Calibri"/>
          <w:sz w:val="24"/>
        </w:rPr>
        <w:t xml:space="preserve"> (3. ed). </w:t>
      </w:r>
      <w:r w:rsidRPr="00F50194">
        <w:rPr>
          <w:rFonts w:ascii="Calibri" w:hAnsi="Calibri" w:cs="Calibri"/>
          <w:sz w:val="24"/>
          <w:lang w:val="en-US"/>
        </w:rPr>
        <w:t>Taurus.</w:t>
      </w:r>
    </w:p>
    <w:p w:rsidR="00830AC6" w:rsidRPr="00830AC6" w:rsidRDefault="00830AC6" w:rsidP="00830AC6">
      <w:pPr>
        <w:pStyle w:val="Bibliografa"/>
        <w:rPr>
          <w:rFonts w:ascii="Calibri" w:hAnsi="Calibri" w:cs="Calibri"/>
          <w:sz w:val="24"/>
          <w:lang w:val="en-US"/>
        </w:rPr>
      </w:pPr>
      <w:r w:rsidRPr="00830AC6">
        <w:rPr>
          <w:rFonts w:ascii="Calibri" w:hAnsi="Calibri" w:cs="Calibri"/>
          <w:sz w:val="24"/>
          <w:lang w:val="en-US"/>
        </w:rPr>
        <w:t xml:space="preserve">DeNora, T. (2004). </w:t>
      </w:r>
      <w:r w:rsidRPr="00830AC6">
        <w:rPr>
          <w:rFonts w:ascii="Calibri" w:hAnsi="Calibri" w:cs="Calibri"/>
          <w:i/>
          <w:iCs/>
          <w:sz w:val="24"/>
          <w:lang w:val="en-US"/>
        </w:rPr>
        <w:t>Music in Everyday Life</w:t>
      </w:r>
      <w:r w:rsidRPr="00830AC6">
        <w:rPr>
          <w:rFonts w:ascii="Calibri" w:hAnsi="Calibri" w:cs="Calibri"/>
          <w:sz w:val="24"/>
          <w:lang w:val="en-US"/>
        </w:rPr>
        <w:t>. Cambridge University Press.</w:t>
      </w:r>
    </w:p>
    <w:p w:rsidR="00830AC6" w:rsidRPr="00830AC6" w:rsidRDefault="00830AC6" w:rsidP="00830AC6">
      <w:pPr>
        <w:pStyle w:val="Bibliografa"/>
        <w:rPr>
          <w:rFonts w:ascii="Calibri" w:hAnsi="Calibri" w:cs="Calibri"/>
          <w:sz w:val="24"/>
        </w:rPr>
      </w:pPr>
      <w:r w:rsidRPr="00830AC6">
        <w:rPr>
          <w:rFonts w:ascii="Calibri" w:hAnsi="Calibri" w:cs="Calibri"/>
          <w:sz w:val="24"/>
        </w:rPr>
        <w:t xml:space="preserve">DeNora, T. (2012). La música en acción: Constitución del género en la escena concertístico de Viena, 1790-1810. En C. Benzecry (Ed.), </w:t>
      </w:r>
      <w:r w:rsidRPr="00830AC6">
        <w:rPr>
          <w:rFonts w:ascii="Calibri" w:hAnsi="Calibri" w:cs="Calibri"/>
          <w:i/>
          <w:iCs/>
          <w:sz w:val="24"/>
        </w:rPr>
        <w:t>Hacia una nueva sociología cultural. Mapas, dramas, actos y prácticas</w:t>
      </w:r>
      <w:r w:rsidRPr="00830AC6">
        <w:rPr>
          <w:rFonts w:ascii="Calibri" w:hAnsi="Calibri" w:cs="Calibri"/>
          <w:sz w:val="24"/>
        </w:rPr>
        <w:t xml:space="preserve"> (pp. 187–212). UNQUI.</w:t>
      </w:r>
    </w:p>
    <w:p w:rsidR="00830AC6" w:rsidRPr="00830AC6" w:rsidRDefault="00830AC6" w:rsidP="00830AC6">
      <w:pPr>
        <w:pStyle w:val="Bibliografa"/>
        <w:rPr>
          <w:rFonts w:ascii="Calibri" w:hAnsi="Calibri" w:cs="Calibri"/>
          <w:sz w:val="24"/>
        </w:rPr>
      </w:pPr>
      <w:r w:rsidRPr="00830AC6">
        <w:rPr>
          <w:rFonts w:ascii="Calibri" w:hAnsi="Calibri" w:cs="Calibri"/>
          <w:sz w:val="24"/>
        </w:rPr>
        <w:t xml:space="preserve">Faulkner, R., &amp; Becker, H. (2011). </w:t>
      </w:r>
      <w:r w:rsidRPr="00830AC6">
        <w:rPr>
          <w:rFonts w:ascii="Calibri" w:hAnsi="Calibri" w:cs="Calibri"/>
          <w:i/>
          <w:iCs/>
          <w:sz w:val="24"/>
        </w:rPr>
        <w:t>El Jazz en acción: La dinámica de los músicos sobre el escenario</w:t>
      </w:r>
      <w:r w:rsidRPr="00830AC6">
        <w:rPr>
          <w:rFonts w:ascii="Calibri" w:hAnsi="Calibri" w:cs="Calibri"/>
          <w:sz w:val="24"/>
        </w:rPr>
        <w:t>. Siglo XXI.</w:t>
      </w:r>
    </w:p>
    <w:p w:rsidR="00830AC6" w:rsidRPr="00830AC6" w:rsidRDefault="00830AC6" w:rsidP="00830AC6">
      <w:pPr>
        <w:pStyle w:val="Bibliografa"/>
        <w:rPr>
          <w:rFonts w:ascii="Calibri" w:hAnsi="Calibri" w:cs="Calibri"/>
          <w:sz w:val="24"/>
        </w:rPr>
      </w:pPr>
      <w:r w:rsidRPr="00830AC6">
        <w:rPr>
          <w:rFonts w:ascii="Calibri" w:hAnsi="Calibri" w:cs="Calibri"/>
          <w:sz w:val="24"/>
        </w:rPr>
        <w:t xml:space="preserve">Feld, S. (2013). Una Acustemología de la Selva Tropical. </w:t>
      </w:r>
      <w:r w:rsidRPr="00830AC6">
        <w:rPr>
          <w:rFonts w:ascii="Calibri" w:hAnsi="Calibri" w:cs="Calibri"/>
          <w:i/>
          <w:iCs/>
          <w:sz w:val="24"/>
        </w:rPr>
        <w:t>Revista Colombiana de Antropología</w:t>
      </w:r>
      <w:r w:rsidRPr="00830AC6">
        <w:rPr>
          <w:rFonts w:ascii="Calibri" w:hAnsi="Calibri" w:cs="Calibri"/>
          <w:sz w:val="24"/>
        </w:rPr>
        <w:t xml:space="preserve">, </w:t>
      </w:r>
      <w:r w:rsidRPr="00830AC6">
        <w:rPr>
          <w:rFonts w:ascii="Calibri" w:hAnsi="Calibri" w:cs="Calibri"/>
          <w:i/>
          <w:iCs/>
          <w:sz w:val="24"/>
        </w:rPr>
        <w:t>49</w:t>
      </w:r>
      <w:r w:rsidRPr="00830AC6">
        <w:rPr>
          <w:rFonts w:ascii="Calibri" w:hAnsi="Calibri" w:cs="Calibri"/>
          <w:sz w:val="24"/>
        </w:rPr>
        <w:t>(1), 217–239. https://doi.org/10.22380/2539472X79</w:t>
      </w:r>
    </w:p>
    <w:p w:rsidR="00830AC6" w:rsidRPr="00830AC6" w:rsidRDefault="00830AC6" w:rsidP="00830AC6">
      <w:pPr>
        <w:pStyle w:val="Bibliografa"/>
        <w:rPr>
          <w:rFonts w:ascii="Calibri" w:hAnsi="Calibri" w:cs="Calibri"/>
          <w:sz w:val="24"/>
        </w:rPr>
      </w:pPr>
      <w:r w:rsidRPr="00830AC6">
        <w:rPr>
          <w:rFonts w:ascii="Calibri" w:hAnsi="Calibri" w:cs="Calibri"/>
          <w:sz w:val="24"/>
        </w:rPr>
        <w:lastRenderedPageBreak/>
        <w:t xml:space="preserve">Hennion, A. (2017). De una sociología de la mediación a una pragmática de las vinculaciones. Retrospectiva de un recorrido sociológico dentro del CSI. </w:t>
      </w:r>
      <w:r w:rsidRPr="00830AC6">
        <w:rPr>
          <w:rFonts w:ascii="Calibri" w:hAnsi="Calibri" w:cs="Calibri"/>
          <w:i/>
          <w:iCs/>
          <w:sz w:val="24"/>
        </w:rPr>
        <w:t>Cuestiones de Sociología</w:t>
      </w:r>
      <w:r w:rsidRPr="00830AC6">
        <w:rPr>
          <w:rFonts w:ascii="Calibri" w:hAnsi="Calibri" w:cs="Calibri"/>
          <w:sz w:val="24"/>
        </w:rPr>
        <w:t xml:space="preserve">, </w:t>
      </w:r>
      <w:r w:rsidRPr="00830AC6">
        <w:rPr>
          <w:rFonts w:ascii="Calibri" w:hAnsi="Calibri" w:cs="Calibri"/>
          <w:i/>
          <w:iCs/>
          <w:sz w:val="24"/>
        </w:rPr>
        <w:t>16</w:t>
      </w:r>
      <w:r w:rsidRPr="00830AC6">
        <w:rPr>
          <w:rFonts w:ascii="Calibri" w:hAnsi="Calibri" w:cs="Calibri"/>
          <w:sz w:val="24"/>
        </w:rPr>
        <w:t>(1).</w:t>
      </w:r>
    </w:p>
    <w:p w:rsidR="00830AC6" w:rsidRPr="00830AC6" w:rsidRDefault="00830AC6" w:rsidP="00830AC6">
      <w:pPr>
        <w:pStyle w:val="Bibliografa"/>
        <w:rPr>
          <w:rFonts w:ascii="Calibri" w:hAnsi="Calibri" w:cs="Calibri"/>
          <w:sz w:val="24"/>
        </w:rPr>
      </w:pPr>
      <w:r w:rsidRPr="00830AC6">
        <w:rPr>
          <w:rFonts w:ascii="Calibri" w:hAnsi="Calibri" w:cs="Calibri"/>
          <w:sz w:val="24"/>
          <w:lang w:val="en-US"/>
        </w:rPr>
        <w:t xml:space="preserve">McClary, S. (2002). </w:t>
      </w:r>
      <w:r w:rsidRPr="00830AC6">
        <w:rPr>
          <w:rFonts w:ascii="Calibri" w:hAnsi="Calibri" w:cs="Calibri"/>
          <w:i/>
          <w:iCs/>
          <w:sz w:val="24"/>
          <w:lang w:val="en-US"/>
        </w:rPr>
        <w:t>Feminine endings: Music, gender, and sexuality</w:t>
      </w:r>
      <w:r w:rsidRPr="00830AC6">
        <w:rPr>
          <w:rFonts w:ascii="Calibri" w:hAnsi="Calibri" w:cs="Calibri"/>
          <w:sz w:val="24"/>
          <w:lang w:val="en-US"/>
        </w:rPr>
        <w:t xml:space="preserve">. </w:t>
      </w:r>
      <w:r w:rsidRPr="00830AC6">
        <w:rPr>
          <w:rFonts w:ascii="Calibri" w:hAnsi="Calibri" w:cs="Calibri"/>
          <w:sz w:val="24"/>
        </w:rPr>
        <w:t>University of Minnesota Press.</w:t>
      </w:r>
    </w:p>
    <w:p w:rsidR="00830AC6" w:rsidRPr="00830AC6" w:rsidRDefault="00830AC6" w:rsidP="00830AC6">
      <w:pPr>
        <w:pStyle w:val="Bibliografa"/>
        <w:rPr>
          <w:rFonts w:ascii="Calibri" w:hAnsi="Calibri" w:cs="Calibri"/>
          <w:sz w:val="24"/>
        </w:rPr>
      </w:pPr>
      <w:r w:rsidRPr="00830AC6">
        <w:rPr>
          <w:rFonts w:ascii="Calibri" w:hAnsi="Calibri" w:cs="Calibri"/>
          <w:sz w:val="24"/>
        </w:rPr>
        <w:t xml:space="preserve">Mendívil, J. (2016). </w:t>
      </w:r>
      <w:r w:rsidRPr="00830AC6">
        <w:rPr>
          <w:rFonts w:ascii="Calibri" w:hAnsi="Calibri" w:cs="Calibri"/>
          <w:i/>
          <w:iCs/>
          <w:sz w:val="24"/>
        </w:rPr>
        <w:t>En contra de la música: Herramientas para pensar, comprender y vivir las músicas</w:t>
      </w:r>
      <w:r w:rsidRPr="00830AC6">
        <w:rPr>
          <w:rFonts w:ascii="Calibri" w:hAnsi="Calibri" w:cs="Calibri"/>
          <w:sz w:val="24"/>
        </w:rPr>
        <w:t xml:space="preserve"> (1ra edición). Gourmet Musical Ediciones.</w:t>
      </w:r>
    </w:p>
    <w:p w:rsidR="00830AC6" w:rsidRPr="00830AC6" w:rsidRDefault="00830AC6" w:rsidP="00830AC6">
      <w:pPr>
        <w:pStyle w:val="Bibliografa"/>
        <w:rPr>
          <w:rFonts w:ascii="Calibri" w:hAnsi="Calibri" w:cs="Calibri"/>
          <w:sz w:val="24"/>
        </w:rPr>
      </w:pPr>
      <w:r w:rsidRPr="00830AC6">
        <w:rPr>
          <w:rFonts w:ascii="Calibri" w:hAnsi="Calibri" w:cs="Calibri"/>
          <w:sz w:val="24"/>
        </w:rPr>
        <w:t xml:space="preserve">Reynoso, C. (s. f.). </w:t>
      </w:r>
      <w:r w:rsidRPr="00830AC6">
        <w:rPr>
          <w:rFonts w:ascii="Calibri" w:hAnsi="Calibri" w:cs="Calibri"/>
          <w:i/>
          <w:iCs/>
          <w:sz w:val="24"/>
        </w:rPr>
        <w:t>Antropología de la música. De los géneros tribales a la globalización. Volumen 1</w:t>
      </w:r>
      <w:r w:rsidRPr="00830AC6">
        <w:rPr>
          <w:rFonts w:ascii="Calibri" w:hAnsi="Calibri" w:cs="Calibri"/>
          <w:sz w:val="24"/>
        </w:rPr>
        <w:t>. SB.</w:t>
      </w:r>
    </w:p>
    <w:p w:rsidR="00830AC6" w:rsidRPr="00F50194" w:rsidRDefault="00830AC6" w:rsidP="00830AC6">
      <w:pPr>
        <w:pStyle w:val="Bibliografa"/>
        <w:rPr>
          <w:rFonts w:ascii="Calibri" w:hAnsi="Calibri" w:cs="Calibri"/>
          <w:sz w:val="24"/>
          <w:lang w:val="es-ES"/>
        </w:rPr>
      </w:pPr>
      <w:r w:rsidRPr="00830AC6">
        <w:rPr>
          <w:rFonts w:ascii="Calibri" w:hAnsi="Calibri" w:cs="Calibri"/>
          <w:sz w:val="24"/>
        </w:rPr>
        <w:t xml:space="preserve">Schafer, R. M. (2013). </w:t>
      </w:r>
      <w:r w:rsidRPr="00830AC6">
        <w:rPr>
          <w:rFonts w:ascii="Calibri" w:hAnsi="Calibri" w:cs="Calibri"/>
          <w:i/>
          <w:iCs/>
          <w:sz w:val="24"/>
        </w:rPr>
        <w:t>El paisaje sonoro y la afinación del mundo</w:t>
      </w:r>
      <w:r w:rsidRPr="00830AC6">
        <w:rPr>
          <w:rFonts w:ascii="Calibri" w:hAnsi="Calibri" w:cs="Calibri"/>
          <w:sz w:val="24"/>
        </w:rPr>
        <w:t xml:space="preserve"> (1</w:t>
      </w:r>
      <w:r w:rsidRPr="00830AC6">
        <w:rPr>
          <w:rFonts w:ascii="Calibri" w:hAnsi="Calibri" w:cs="Calibri"/>
          <w:sz w:val="24"/>
          <w:vertAlign w:val="superscript"/>
        </w:rPr>
        <w:t>a</w:t>
      </w:r>
      <w:r w:rsidRPr="00830AC6">
        <w:rPr>
          <w:rFonts w:ascii="Calibri" w:hAnsi="Calibri" w:cs="Calibri"/>
          <w:sz w:val="24"/>
        </w:rPr>
        <w:t xml:space="preserve"> ed). </w:t>
      </w:r>
      <w:r w:rsidRPr="00F50194">
        <w:rPr>
          <w:rFonts w:ascii="Calibri" w:hAnsi="Calibri" w:cs="Calibri"/>
          <w:sz w:val="24"/>
          <w:lang w:val="es-ES"/>
        </w:rPr>
        <w:t>Intermedio.</w:t>
      </w:r>
    </w:p>
    <w:p w:rsidR="00830AC6" w:rsidRPr="00830AC6" w:rsidRDefault="00830AC6" w:rsidP="00830AC6">
      <w:pPr>
        <w:pStyle w:val="Bibliografa"/>
        <w:rPr>
          <w:rFonts w:ascii="Calibri" w:hAnsi="Calibri" w:cs="Calibri"/>
          <w:sz w:val="24"/>
        </w:rPr>
      </w:pPr>
      <w:r w:rsidRPr="00830AC6">
        <w:rPr>
          <w:rFonts w:ascii="Calibri" w:hAnsi="Calibri" w:cs="Calibri"/>
          <w:sz w:val="24"/>
        </w:rPr>
        <w:t xml:space="preserve">Small, C. (1989). </w:t>
      </w:r>
      <w:r w:rsidRPr="00830AC6">
        <w:rPr>
          <w:rFonts w:ascii="Calibri" w:hAnsi="Calibri" w:cs="Calibri"/>
          <w:i/>
          <w:iCs/>
          <w:sz w:val="24"/>
        </w:rPr>
        <w:t>Música, sociedad, educación: Un examen de la función de la música en las culturas occidentales, orientales y africanas, que estudia su influencia sobre la sociedad y sus usos en la educación</w:t>
      </w:r>
      <w:r w:rsidRPr="00830AC6">
        <w:rPr>
          <w:rFonts w:ascii="Calibri" w:hAnsi="Calibri" w:cs="Calibri"/>
          <w:sz w:val="24"/>
        </w:rPr>
        <w:t xml:space="preserve"> (2nd rev. ed). Alianza.</w:t>
      </w:r>
    </w:p>
    <w:p w:rsidR="00D138F4" w:rsidRPr="00D138F4" w:rsidRDefault="00830AC6" w:rsidP="008C3C27">
      <w:pPr>
        <w:jc w:val="both"/>
        <w:rPr>
          <w:b/>
          <w:bCs/>
          <w:sz w:val="24"/>
          <w:szCs w:val="24"/>
        </w:rPr>
      </w:pPr>
      <w:r>
        <w:rPr>
          <w:b/>
          <w:bCs/>
          <w:sz w:val="24"/>
          <w:szCs w:val="24"/>
        </w:rPr>
        <w:fldChar w:fldCharType="end"/>
      </w:r>
    </w:p>
    <w:sectPr w:rsidR="00D138F4" w:rsidRPr="00D138F4" w:rsidSect="00310CC6">
      <w:headerReference w:type="default" r:id="rId9"/>
      <w:footerReference w:type="default" r:id="rId10"/>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3EF6" w:rsidRDefault="00933EF6" w:rsidP="002819B1">
      <w:pPr>
        <w:spacing w:after="0" w:line="240" w:lineRule="auto"/>
      </w:pPr>
      <w:r>
        <w:separator/>
      </w:r>
    </w:p>
  </w:endnote>
  <w:endnote w:type="continuationSeparator" w:id="0">
    <w:p w:rsidR="00933EF6" w:rsidRDefault="00933EF6" w:rsidP="00281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8525114"/>
      <w:docPartObj>
        <w:docPartGallery w:val="Page Numbers (Bottom of Page)"/>
        <w:docPartUnique/>
      </w:docPartObj>
    </w:sdtPr>
    <w:sdtContent>
      <w:p w:rsidR="00284DC1" w:rsidRDefault="00284DC1">
        <w:pPr>
          <w:pStyle w:val="Piedepgina"/>
          <w:jc w:val="right"/>
        </w:pPr>
        <w:r>
          <w:fldChar w:fldCharType="begin"/>
        </w:r>
        <w:r>
          <w:instrText>PAGE   \* MERGEFORMAT</w:instrText>
        </w:r>
        <w:r>
          <w:fldChar w:fldCharType="separate"/>
        </w:r>
        <w:r w:rsidR="00687CC2" w:rsidRPr="00687CC2">
          <w:rPr>
            <w:noProof/>
            <w:lang w:val="es-ES"/>
          </w:rPr>
          <w:t>4</w:t>
        </w:r>
        <w:r>
          <w:fldChar w:fldCharType="end"/>
        </w:r>
      </w:p>
    </w:sdtContent>
  </w:sdt>
  <w:p w:rsidR="00BE6546" w:rsidRDefault="00BE65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3EF6" w:rsidRDefault="00933EF6" w:rsidP="002819B1">
      <w:pPr>
        <w:spacing w:after="0" w:line="240" w:lineRule="auto"/>
      </w:pPr>
      <w:r>
        <w:separator/>
      </w:r>
    </w:p>
  </w:footnote>
  <w:footnote w:type="continuationSeparator" w:id="0">
    <w:p w:rsidR="00933EF6" w:rsidRDefault="00933EF6" w:rsidP="00281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19B1" w:rsidRDefault="002819B1" w:rsidP="002819B1">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63E"/>
    <w:multiLevelType w:val="hybridMultilevel"/>
    <w:tmpl w:val="B562027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1BC3E64"/>
    <w:multiLevelType w:val="hybridMultilevel"/>
    <w:tmpl w:val="9F62F6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486ABF"/>
    <w:multiLevelType w:val="hybridMultilevel"/>
    <w:tmpl w:val="3E187D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F95031"/>
    <w:multiLevelType w:val="hybridMultilevel"/>
    <w:tmpl w:val="38BC111C"/>
    <w:lvl w:ilvl="0" w:tplc="123CE0AE">
      <w:start w:val="1"/>
      <w:numFmt w:val="bullet"/>
      <w:lvlText w:val="-"/>
      <w:lvlJc w:val="left"/>
      <w:pPr>
        <w:ind w:left="1440" w:hanging="360"/>
      </w:pPr>
      <w:rPr>
        <w:rFonts w:ascii="Calibri" w:eastAsiaTheme="minorHAnsi" w:hAnsi="Calibri" w:cs="Calibri"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14B213E3"/>
    <w:multiLevelType w:val="hybridMultilevel"/>
    <w:tmpl w:val="449A2A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4F3110"/>
    <w:multiLevelType w:val="hybridMultilevel"/>
    <w:tmpl w:val="467A20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7B23EC2"/>
    <w:multiLevelType w:val="hybridMultilevel"/>
    <w:tmpl w:val="9702BCDA"/>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7" w15:restartNumberingAfterBreak="0">
    <w:nsid w:val="1BBB7F64"/>
    <w:multiLevelType w:val="hybridMultilevel"/>
    <w:tmpl w:val="4880D94A"/>
    <w:lvl w:ilvl="0" w:tplc="BC2C9082">
      <w:start w:val="1"/>
      <w:numFmt w:val="bullet"/>
      <w:lvlText w:val="-"/>
      <w:lvlJc w:val="left"/>
      <w:pPr>
        <w:ind w:left="1788" w:hanging="360"/>
      </w:pPr>
      <w:rPr>
        <w:rFonts w:ascii="Calibri" w:eastAsiaTheme="minorHAnsi" w:hAnsi="Calibri" w:cs="Calibri"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8" w15:restartNumberingAfterBreak="0">
    <w:nsid w:val="1C504F33"/>
    <w:multiLevelType w:val="hybridMultilevel"/>
    <w:tmpl w:val="CCC88F1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473065F"/>
    <w:multiLevelType w:val="hybridMultilevel"/>
    <w:tmpl w:val="1F5EC23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26624078"/>
    <w:multiLevelType w:val="hybridMultilevel"/>
    <w:tmpl w:val="18FE4AB0"/>
    <w:lvl w:ilvl="0" w:tplc="340A0001">
      <w:start w:val="1"/>
      <w:numFmt w:val="bullet"/>
      <w:lvlText w:val=""/>
      <w:lvlJc w:val="left"/>
      <w:pPr>
        <w:ind w:left="2520" w:hanging="360"/>
      </w:pPr>
      <w:rPr>
        <w:rFonts w:ascii="Symbol" w:hAnsi="Symbol" w:hint="default"/>
      </w:rPr>
    </w:lvl>
    <w:lvl w:ilvl="1" w:tplc="340A0003" w:tentative="1">
      <w:start w:val="1"/>
      <w:numFmt w:val="bullet"/>
      <w:lvlText w:val="o"/>
      <w:lvlJc w:val="left"/>
      <w:pPr>
        <w:ind w:left="3240" w:hanging="360"/>
      </w:pPr>
      <w:rPr>
        <w:rFonts w:ascii="Courier New" w:hAnsi="Courier New" w:cs="Courier New" w:hint="default"/>
      </w:rPr>
    </w:lvl>
    <w:lvl w:ilvl="2" w:tplc="340A0005" w:tentative="1">
      <w:start w:val="1"/>
      <w:numFmt w:val="bullet"/>
      <w:lvlText w:val=""/>
      <w:lvlJc w:val="left"/>
      <w:pPr>
        <w:ind w:left="3960" w:hanging="360"/>
      </w:pPr>
      <w:rPr>
        <w:rFonts w:ascii="Wingdings" w:hAnsi="Wingdings" w:hint="default"/>
      </w:rPr>
    </w:lvl>
    <w:lvl w:ilvl="3" w:tplc="340A0001" w:tentative="1">
      <w:start w:val="1"/>
      <w:numFmt w:val="bullet"/>
      <w:lvlText w:val=""/>
      <w:lvlJc w:val="left"/>
      <w:pPr>
        <w:ind w:left="4680" w:hanging="360"/>
      </w:pPr>
      <w:rPr>
        <w:rFonts w:ascii="Symbol" w:hAnsi="Symbol" w:hint="default"/>
      </w:rPr>
    </w:lvl>
    <w:lvl w:ilvl="4" w:tplc="340A0003" w:tentative="1">
      <w:start w:val="1"/>
      <w:numFmt w:val="bullet"/>
      <w:lvlText w:val="o"/>
      <w:lvlJc w:val="left"/>
      <w:pPr>
        <w:ind w:left="5400" w:hanging="360"/>
      </w:pPr>
      <w:rPr>
        <w:rFonts w:ascii="Courier New" w:hAnsi="Courier New" w:cs="Courier New" w:hint="default"/>
      </w:rPr>
    </w:lvl>
    <w:lvl w:ilvl="5" w:tplc="340A0005" w:tentative="1">
      <w:start w:val="1"/>
      <w:numFmt w:val="bullet"/>
      <w:lvlText w:val=""/>
      <w:lvlJc w:val="left"/>
      <w:pPr>
        <w:ind w:left="6120" w:hanging="360"/>
      </w:pPr>
      <w:rPr>
        <w:rFonts w:ascii="Wingdings" w:hAnsi="Wingdings" w:hint="default"/>
      </w:rPr>
    </w:lvl>
    <w:lvl w:ilvl="6" w:tplc="340A0001" w:tentative="1">
      <w:start w:val="1"/>
      <w:numFmt w:val="bullet"/>
      <w:lvlText w:val=""/>
      <w:lvlJc w:val="left"/>
      <w:pPr>
        <w:ind w:left="6840" w:hanging="360"/>
      </w:pPr>
      <w:rPr>
        <w:rFonts w:ascii="Symbol" w:hAnsi="Symbol" w:hint="default"/>
      </w:rPr>
    </w:lvl>
    <w:lvl w:ilvl="7" w:tplc="340A0003" w:tentative="1">
      <w:start w:val="1"/>
      <w:numFmt w:val="bullet"/>
      <w:lvlText w:val="o"/>
      <w:lvlJc w:val="left"/>
      <w:pPr>
        <w:ind w:left="7560" w:hanging="360"/>
      </w:pPr>
      <w:rPr>
        <w:rFonts w:ascii="Courier New" w:hAnsi="Courier New" w:cs="Courier New" w:hint="default"/>
      </w:rPr>
    </w:lvl>
    <w:lvl w:ilvl="8" w:tplc="340A0005" w:tentative="1">
      <w:start w:val="1"/>
      <w:numFmt w:val="bullet"/>
      <w:lvlText w:val=""/>
      <w:lvlJc w:val="left"/>
      <w:pPr>
        <w:ind w:left="8280" w:hanging="360"/>
      </w:pPr>
      <w:rPr>
        <w:rFonts w:ascii="Wingdings" w:hAnsi="Wingdings" w:hint="default"/>
      </w:rPr>
    </w:lvl>
  </w:abstractNum>
  <w:abstractNum w:abstractNumId="11" w15:restartNumberingAfterBreak="0">
    <w:nsid w:val="269E3195"/>
    <w:multiLevelType w:val="multilevel"/>
    <w:tmpl w:val="BAA280C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7AD5F12"/>
    <w:multiLevelType w:val="hybridMultilevel"/>
    <w:tmpl w:val="77E4C4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ADD0CB1"/>
    <w:multiLevelType w:val="hybridMultilevel"/>
    <w:tmpl w:val="689A6428"/>
    <w:lvl w:ilvl="0" w:tplc="D2DE2784">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D513541"/>
    <w:multiLevelType w:val="hybridMultilevel"/>
    <w:tmpl w:val="D7381164"/>
    <w:lvl w:ilvl="0" w:tplc="EB801C10">
      <w:start w:val="1"/>
      <w:numFmt w:val="upperRoman"/>
      <w:lvlText w:val="%1."/>
      <w:lvlJc w:val="left"/>
      <w:pPr>
        <w:ind w:left="72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F84201D"/>
    <w:multiLevelType w:val="hybridMultilevel"/>
    <w:tmpl w:val="5B44A2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3AC1DAF"/>
    <w:multiLevelType w:val="hybridMultilevel"/>
    <w:tmpl w:val="D62048B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362C736C"/>
    <w:multiLevelType w:val="hybridMultilevel"/>
    <w:tmpl w:val="8974C5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6786638"/>
    <w:multiLevelType w:val="hybridMultilevel"/>
    <w:tmpl w:val="E4DECD16"/>
    <w:lvl w:ilvl="0" w:tplc="2FE822D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15:restartNumberingAfterBreak="0">
    <w:nsid w:val="4ED15F6B"/>
    <w:multiLevelType w:val="hybridMultilevel"/>
    <w:tmpl w:val="C33454B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574D7B50"/>
    <w:multiLevelType w:val="multilevel"/>
    <w:tmpl w:val="18BEACF4"/>
    <w:lvl w:ilvl="0">
      <w:start w:val="1"/>
      <w:numFmt w:val="upperRoman"/>
      <w:lvlText w:val="%1."/>
      <w:lvlJc w:val="left"/>
      <w:pPr>
        <w:ind w:left="1440" w:hanging="72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15:restartNumberingAfterBreak="0">
    <w:nsid w:val="5D7B7639"/>
    <w:multiLevelType w:val="hybridMultilevel"/>
    <w:tmpl w:val="B4B049D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5F9A6E6C"/>
    <w:multiLevelType w:val="hybridMultilevel"/>
    <w:tmpl w:val="B62E76D8"/>
    <w:lvl w:ilvl="0" w:tplc="7F4E60E6">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3" w15:restartNumberingAfterBreak="0">
    <w:nsid w:val="63743157"/>
    <w:multiLevelType w:val="hybridMultilevel"/>
    <w:tmpl w:val="0388CDC0"/>
    <w:lvl w:ilvl="0" w:tplc="340A0001">
      <w:start w:val="1"/>
      <w:numFmt w:val="bullet"/>
      <w:lvlText w:val=""/>
      <w:lvlJc w:val="left"/>
      <w:pPr>
        <w:ind w:left="1854" w:hanging="360"/>
      </w:pPr>
      <w:rPr>
        <w:rFonts w:ascii="Symbol" w:hAnsi="Symbol" w:hint="default"/>
      </w:rPr>
    </w:lvl>
    <w:lvl w:ilvl="1" w:tplc="340A0003" w:tentative="1">
      <w:start w:val="1"/>
      <w:numFmt w:val="bullet"/>
      <w:lvlText w:val="o"/>
      <w:lvlJc w:val="left"/>
      <w:pPr>
        <w:ind w:left="2574" w:hanging="360"/>
      </w:pPr>
      <w:rPr>
        <w:rFonts w:ascii="Courier New" w:hAnsi="Courier New" w:cs="Courier New" w:hint="default"/>
      </w:rPr>
    </w:lvl>
    <w:lvl w:ilvl="2" w:tplc="340A0005" w:tentative="1">
      <w:start w:val="1"/>
      <w:numFmt w:val="bullet"/>
      <w:lvlText w:val=""/>
      <w:lvlJc w:val="left"/>
      <w:pPr>
        <w:ind w:left="3294" w:hanging="360"/>
      </w:pPr>
      <w:rPr>
        <w:rFonts w:ascii="Wingdings" w:hAnsi="Wingdings" w:hint="default"/>
      </w:rPr>
    </w:lvl>
    <w:lvl w:ilvl="3" w:tplc="340A0001" w:tentative="1">
      <w:start w:val="1"/>
      <w:numFmt w:val="bullet"/>
      <w:lvlText w:val=""/>
      <w:lvlJc w:val="left"/>
      <w:pPr>
        <w:ind w:left="4014" w:hanging="360"/>
      </w:pPr>
      <w:rPr>
        <w:rFonts w:ascii="Symbol" w:hAnsi="Symbol" w:hint="default"/>
      </w:rPr>
    </w:lvl>
    <w:lvl w:ilvl="4" w:tplc="340A0003" w:tentative="1">
      <w:start w:val="1"/>
      <w:numFmt w:val="bullet"/>
      <w:lvlText w:val="o"/>
      <w:lvlJc w:val="left"/>
      <w:pPr>
        <w:ind w:left="4734" w:hanging="360"/>
      </w:pPr>
      <w:rPr>
        <w:rFonts w:ascii="Courier New" w:hAnsi="Courier New" w:cs="Courier New" w:hint="default"/>
      </w:rPr>
    </w:lvl>
    <w:lvl w:ilvl="5" w:tplc="340A0005" w:tentative="1">
      <w:start w:val="1"/>
      <w:numFmt w:val="bullet"/>
      <w:lvlText w:val=""/>
      <w:lvlJc w:val="left"/>
      <w:pPr>
        <w:ind w:left="5454" w:hanging="360"/>
      </w:pPr>
      <w:rPr>
        <w:rFonts w:ascii="Wingdings" w:hAnsi="Wingdings" w:hint="default"/>
      </w:rPr>
    </w:lvl>
    <w:lvl w:ilvl="6" w:tplc="340A0001" w:tentative="1">
      <w:start w:val="1"/>
      <w:numFmt w:val="bullet"/>
      <w:lvlText w:val=""/>
      <w:lvlJc w:val="left"/>
      <w:pPr>
        <w:ind w:left="6174" w:hanging="360"/>
      </w:pPr>
      <w:rPr>
        <w:rFonts w:ascii="Symbol" w:hAnsi="Symbol" w:hint="default"/>
      </w:rPr>
    </w:lvl>
    <w:lvl w:ilvl="7" w:tplc="340A0003" w:tentative="1">
      <w:start w:val="1"/>
      <w:numFmt w:val="bullet"/>
      <w:lvlText w:val="o"/>
      <w:lvlJc w:val="left"/>
      <w:pPr>
        <w:ind w:left="6894" w:hanging="360"/>
      </w:pPr>
      <w:rPr>
        <w:rFonts w:ascii="Courier New" w:hAnsi="Courier New" w:cs="Courier New" w:hint="default"/>
      </w:rPr>
    </w:lvl>
    <w:lvl w:ilvl="8" w:tplc="340A0005" w:tentative="1">
      <w:start w:val="1"/>
      <w:numFmt w:val="bullet"/>
      <w:lvlText w:val=""/>
      <w:lvlJc w:val="left"/>
      <w:pPr>
        <w:ind w:left="7614" w:hanging="360"/>
      </w:pPr>
      <w:rPr>
        <w:rFonts w:ascii="Wingdings" w:hAnsi="Wingdings" w:hint="default"/>
      </w:rPr>
    </w:lvl>
  </w:abstractNum>
  <w:abstractNum w:abstractNumId="24" w15:restartNumberingAfterBreak="0">
    <w:nsid w:val="660B04DC"/>
    <w:multiLevelType w:val="hybridMultilevel"/>
    <w:tmpl w:val="18D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64A66A3"/>
    <w:multiLevelType w:val="hybridMultilevel"/>
    <w:tmpl w:val="6F9872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F61DC7"/>
    <w:multiLevelType w:val="hybridMultilevel"/>
    <w:tmpl w:val="14AA3E2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7" w15:restartNumberingAfterBreak="0">
    <w:nsid w:val="68DE693D"/>
    <w:multiLevelType w:val="multilevel"/>
    <w:tmpl w:val="2056FA9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762001"/>
    <w:multiLevelType w:val="hybridMultilevel"/>
    <w:tmpl w:val="32983BDE"/>
    <w:lvl w:ilvl="0" w:tplc="CDA2509E">
      <w:start w:val="1"/>
      <w:numFmt w:val="low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9" w15:restartNumberingAfterBreak="0">
    <w:nsid w:val="6D2F605D"/>
    <w:multiLevelType w:val="hybridMultilevel"/>
    <w:tmpl w:val="71AE97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D5F1BDF"/>
    <w:multiLevelType w:val="hybridMultilevel"/>
    <w:tmpl w:val="1B560BA4"/>
    <w:lvl w:ilvl="0" w:tplc="6142B22E">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1" w15:restartNumberingAfterBreak="0">
    <w:nsid w:val="6FF858CF"/>
    <w:multiLevelType w:val="hybridMultilevel"/>
    <w:tmpl w:val="684A4D1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3931713"/>
    <w:multiLevelType w:val="hybridMultilevel"/>
    <w:tmpl w:val="AEEC18EA"/>
    <w:lvl w:ilvl="0" w:tplc="F6D86ECA">
      <w:start w:val="1"/>
      <w:numFmt w:val="low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3" w15:restartNumberingAfterBreak="0">
    <w:nsid w:val="790F0F81"/>
    <w:multiLevelType w:val="multilevel"/>
    <w:tmpl w:val="F634ADEE"/>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7A001A81"/>
    <w:multiLevelType w:val="multilevel"/>
    <w:tmpl w:val="D3F2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9B2C1E"/>
    <w:multiLevelType w:val="hybridMultilevel"/>
    <w:tmpl w:val="757CB46E"/>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6" w15:restartNumberingAfterBreak="0">
    <w:nsid w:val="7E654A34"/>
    <w:multiLevelType w:val="hybridMultilevel"/>
    <w:tmpl w:val="CA22252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F8901B8"/>
    <w:multiLevelType w:val="hybridMultilevel"/>
    <w:tmpl w:val="2752E8C2"/>
    <w:lvl w:ilvl="0" w:tplc="340A0001">
      <w:start w:val="1"/>
      <w:numFmt w:val="bullet"/>
      <w:lvlText w:val=""/>
      <w:lvlJc w:val="left"/>
      <w:pPr>
        <w:ind w:left="1500" w:hanging="360"/>
      </w:pPr>
      <w:rPr>
        <w:rFonts w:ascii="Symbol" w:hAnsi="Symbol" w:hint="default"/>
      </w:rPr>
    </w:lvl>
    <w:lvl w:ilvl="1" w:tplc="340A0003" w:tentative="1">
      <w:start w:val="1"/>
      <w:numFmt w:val="bullet"/>
      <w:lvlText w:val="o"/>
      <w:lvlJc w:val="left"/>
      <w:pPr>
        <w:ind w:left="2220" w:hanging="360"/>
      </w:pPr>
      <w:rPr>
        <w:rFonts w:ascii="Courier New" w:hAnsi="Courier New" w:cs="Courier New"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num w:numId="1" w16cid:durableId="355890384">
    <w:abstractNumId w:val="12"/>
  </w:num>
  <w:num w:numId="2" w16cid:durableId="2027319773">
    <w:abstractNumId w:val="30"/>
  </w:num>
  <w:num w:numId="3" w16cid:durableId="568540942">
    <w:abstractNumId w:val="36"/>
  </w:num>
  <w:num w:numId="4" w16cid:durableId="1022708188">
    <w:abstractNumId w:val="14"/>
  </w:num>
  <w:num w:numId="5" w16cid:durableId="1831293040">
    <w:abstractNumId w:val="8"/>
  </w:num>
  <w:num w:numId="6" w16cid:durableId="1471635862">
    <w:abstractNumId w:val="5"/>
  </w:num>
  <w:num w:numId="7" w16cid:durableId="332533043">
    <w:abstractNumId w:val="29"/>
  </w:num>
  <w:num w:numId="8" w16cid:durableId="1886601883">
    <w:abstractNumId w:val="0"/>
  </w:num>
  <w:num w:numId="9" w16cid:durableId="459690175">
    <w:abstractNumId w:val="18"/>
  </w:num>
  <w:num w:numId="10" w16cid:durableId="1997032307">
    <w:abstractNumId w:val="22"/>
  </w:num>
  <w:num w:numId="11" w16cid:durableId="265964278">
    <w:abstractNumId w:val="3"/>
  </w:num>
  <w:num w:numId="12" w16cid:durableId="1182162214">
    <w:abstractNumId w:val="1"/>
  </w:num>
  <w:num w:numId="13" w16cid:durableId="1492869977">
    <w:abstractNumId w:val="31"/>
  </w:num>
  <w:num w:numId="14" w16cid:durableId="2106724576">
    <w:abstractNumId w:val="2"/>
  </w:num>
  <w:num w:numId="15" w16cid:durableId="751050453">
    <w:abstractNumId w:val="20"/>
  </w:num>
  <w:num w:numId="16" w16cid:durableId="1379747466">
    <w:abstractNumId w:val="4"/>
  </w:num>
  <w:num w:numId="17" w16cid:durableId="1675106458">
    <w:abstractNumId w:val="16"/>
  </w:num>
  <w:num w:numId="18" w16cid:durableId="1894610078">
    <w:abstractNumId w:val="25"/>
  </w:num>
  <w:num w:numId="19" w16cid:durableId="1180853763">
    <w:abstractNumId w:val="37"/>
  </w:num>
  <w:num w:numId="20" w16cid:durableId="1473525168">
    <w:abstractNumId w:val="9"/>
  </w:num>
  <w:num w:numId="21" w16cid:durableId="609700515">
    <w:abstractNumId w:val="27"/>
  </w:num>
  <w:num w:numId="22" w16cid:durableId="1985960769">
    <w:abstractNumId w:val="19"/>
  </w:num>
  <w:num w:numId="23" w16cid:durableId="355229672">
    <w:abstractNumId w:val="21"/>
  </w:num>
  <w:num w:numId="24" w16cid:durableId="808286255">
    <w:abstractNumId w:val="28"/>
  </w:num>
  <w:num w:numId="25" w16cid:durableId="801460671">
    <w:abstractNumId w:val="32"/>
  </w:num>
  <w:num w:numId="26" w16cid:durableId="2128230396">
    <w:abstractNumId w:val="26"/>
  </w:num>
  <w:num w:numId="27" w16cid:durableId="2059432070">
    <w:abstractNumId w:val="10"/>
  </w:num>
  <w:num w:numId="28" w16cid:durableId="1008407581">
    <w:abstractNumId w:val="15"/>
  </w:num>
  <w:num w:numId="29" w16cid:durableId="1685476440">
    <w:abstractNumId w:val="6"/>
  </w:num>
  <w:num w:numId="30" w16cid:durableId="24016596">
    <w:abstractNumId w:val="35"/>
  </w:num>
  <w:num w:numId="31" w16cid:durableId="444154536">
    <w:abstractNumId w:val="23"/>
  </w:num>
  <w:num w:numId="32" w16cid:durableId="1655138810">
    <w:abstractNumId w:val="11"/>
  </w:num>
  <w:num w:numId="33" w16cid:durableId="1753969836">
    <w:abstractNumId w:val="33"/>
  </w:num>
  <w:num w:numId="34" w16cid:durableId="1950165784">
    <w:abstractNumId w:val="7"/>
  </w:num>
  <w:num w:numId="35" w16cid:durableId="724452510">
    <w:abstractNumId w:val="17"/>
  </w:num>
  <w:num w:numId="36" w16cid:durableId="394546434">
    <w:abstractNumId w:val="13"/>
  </w:num>
  <w:num w:numId="37" w16cid:durableId="1003238531">
    <w:abstractNumId w:val="34"/>
  </w:num>
  <w:num w:numId="38" w16cid:durableId="154104469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830"/>
    <w:rsid w:val="0002325A"/>
    <w:rsid w:val="00024249"/>
    <w:rsid w:val="00030422"/>
    <w:rsid w:val="00035969"/>
    <w:rsid w:val="000677B0"/>
    <w:rsid w:val="00080477"/>
    <w:rsid w:val="00081025"/>
    <w:rsid w:val="00082302"/>
    <w:rsid w:val="00084B9E"/>
    <w:rsid w:val="00092521"/>
    <w:rsid w:val="000A2066"/>
    <w:rsid w:val="000A4EC8"/>
    <w:rsid w:val="000B68D7"/>
    <w:rsid w:val="000C26E5"/>
    <w:rsid w:val="000D13DB"/>
    <w:rsid w:val="000E2A8C"/>
    <w:rsid w:val="000E6550"/>
    <w:rsid w:val="000F3A20"/>
    <w:rsid w:val="000F7F86"/>
    <w:rsid w:val="00115C6D"/>
    <w:rsid w:val="00162E30"/>
    <w:rsid w:val="0017641E"/>
    <w:rsid w:val="00185171"/>
    <w:rsid w:val="00191735"/>
    <w:rsid w:val="001A5F9C"/>
    <w:rsid w:val="001C0D8D"/>
    <w:rsid w:val="001C6E5A"/>
    <w:rsid w:val="001D0FF6"/>
    <w:rsid w:val="001E7799"/>
    <w:rsid w:val="001F004F"/>
    <w:rsid w:val="001F15DB"/>
    <w:rsid w:val="00204A13"/>
    <w:rsid w:val="0020564F"/>
    <w:rsid w:val="002415DA"/>
    <w:rsid w:val="00242889"/>
    <w:rsid w:val="00251DD2"/>
    <w:rsid w:val="00264274"/>
    <w:rsid w:val="002819B1"/>
    <w:rsid w:val="00284DC1"/>
    <w:rsid w:val="00293F61"/>
    <w:rsid w:val="002A2826"/>
    <w:rsid w:val="002B7B65"/>
    <w:rsid w:val="002C23F0"/>
    <w:rsid w:val="002E5FDF"/>
    <w:rsid w:val="002F0DDD"/>
    <w:rsid w:val="002F6E56"/>
    <w:rsid w:val="0030061C"/>
    <w:rsid w:val="00306060"/>
    <w:rsid w:val="00310CC6"/>
    <w:rsid w:val="00312ACD"/>
    <w:rsid w:val="003160C4"/>
    <w:rsid w:val="003175C6"/>
    <w:rsid w:val="00322B54"/>
    <w:rsid w:val="00325E84"/>
    <w:rsid w:val="00365B38"/>
    <w:rsid w:val="00387818"/>
    <w:rsid w:val="00397C73"/>
    <w:rsid w:val="003A0C1F"/>
    <w:rsid w:val="003B2AD0"/>
    <w:rsid w:val="003D4B69"/>
    <w:rsid w:val="003D4C2C"/>
    <w:rsid w:val="003E476A"/>
    <w:rsid w:val="003E548B"/>
    <w:rsid w:val="003F0FD7"/>
    <w:rsid w:val="003F7213"/>
    <w:rsid w:val="00401373"/>
    <w:rsid w:val="0042311A"/>
    <w:rsid w:val="004273A0"/>
    <w:rsid w:val="00427BA1"/>
    <w:rsid w:val="00434FCA"/>
    <w:rsid w:val="00436ABE"/>
    <w:rsid w:val="00440716"/>
    <w:rsid w:val="004534E8"/>
    <w:rsid w:val="004705BC"/>
    <w:rsid w:val="004A1C6A"/>
    <w:rsid w:val="004B00AA"/>
    <w:rsid w:val="004B03FD"/>
    <w:rsid w:val="004D1E6C"/>
    <w:rsid w:val="004E563F"/>
    <w:rsid w:val="004F32E6"/>
    <w:rsid w:val="00505027"/>
    <w:rsid w:val="005114CE"/>
    <w:rsid w:val="00516D50"/>
    <w:rsid w:val="00517FE3"/>
    <w:rsid w:val="005234B5"/>
    <w:rsid w:val="00534B34"/>
    <w:rsid w:val="00536036"/>
    <w:rsid w:val="005534BD"/>
    <w:rsid w:val="005551A3"/>
    <w:rsid w:val="005629C6"/>
    <w:rsid w:val="00565023"/>
    <w:rsid w:val="00584163"/>
    <w:rsid w:val="005B08EB"/>
    <w:rsid w:val="005B4C03"/>
    <w:rsid w:val="005C09C0"/>
    <w:rsid w:val="005C0A59"/>
    <w:rsid w:val="005D7304"/>
    <w:rsid w:val="005E0B66"/>
    <w:rsid w:val="005F413F"/>
    <w:rsid w:val="0060272D"/>
    <w:rsid w:val="00602CDA"/>
    <w:rsid w:val="00622513"/>
    <w:rsid w:val="00642CD2"/>
    <w:rsid w:val="006430A0"/>
    <w:rsid w:val="00667998"/>
    <w:rsid w:val="006704BB"/>
    <w:rsid w:val="006824B2"/>
    <w:rsid w:val="0068313F"/>
    <w:rsid w:val="00685735"/>
    <w:rsid w:val="00687CC2"/>
    <w:rsid w:val="00692EC3"/>
    <w:rsid w:val="006C6F7E"/>
    <w:rsid w:val="006D091C"/>
    <w:rsid w:val="006E2C1C"/>
    <w:rsid w:val="006F15B8"/>
    <w:rsid w:val="006F20AA"/>
    <w:rsid w:val="0070462F"/>
    <w:rsid w:val="007274D8"/>
    <w:rsid w:val="007355F4"/>
    <w:rsid w:val="00736273"/>
    <w:rsid w:val="007372F1"/>
    <w:rsid w:val="00740F28"/>
    <w:rsid w:val="00747269"/>
    <w:rsid w:val="0075160B"/>
    <w:rsid w:val="007626A2"/>
    <w:rsid w:val="00766C98"/>
    <w:rsid w:val="00773F35"/>
    <w:rsid w:val="00786B95"/>
    <w:rsid w:val="007A30D4"/>
    <w:rsid w:val="007B7AF6"/>
    <w:rsid w:val="007C19BD"/>
    <w:rsid w:val="007C1DA1"/>
    <w:rsid w:val="007E477F"/>
    <w:rsid w:val="007F1DFB"/>
    <w:rsid w:val="00830AC6"/>
    <w:rsid w:val="008379AC"/>
    <w:rsid w:val="00846970"/>
    <w:rsid w:val="00851ED7"/>
    <w:rsid w:val="00855C13"/>
    <w:rsid w:val="008611E0"/>
    <w:rsid w:val="008614C5"/>
    <w:rsid w:val="008632F5"/>
    <w:rsid w:val="00863E74"/>
    <w:rsid w:val="00875BA6"/>
    <w:rsid w:val="00876E77"/>
    <w:rsid w:val="008805D2"/>
    <w:rsid w:val="00886F03"/>
    <w:rsid w:val="00887322"/>
    <w:rsid w:val="00893BE6"/>
    <w:rsid w:val="00896093"/>
    <w:rsid w:val="008A27C2"/>
    <w:rsid w:val="008B3012"/>
    <w:rsid w:val="008B3F6C"/>
    <w:rsid w:val="008C3C27"/>
    <w:rsid w:val="008F19DA"/>
    <w:rsid w:val="008F21F1"/>
    <w:rsid w:val="009044FF"/>
    <w:rsid w:val="00927115"/>
    <w:rsid w:val="00930298"/>
    <w:rsid w:val="00933EF6"/>
    <w:rsid w:val="00934303"/>
    <w:rsid w:val="009546B5"/>
    <w:rsid w:val="0095485B"/>
    <w:rsid w:val="00975877"/>
    <w:rsid w:val="00981CF2"/>
    <w:rsid w:val="009830E5"/>
    <w:rsid w:val="0098480C"/>
    <w:rsid w:val="00995A4A"/>
    <w:rsid w:val="009A067D"/>
    <w:rsid w:val="009A7BEB"/>
    <w:rsid w:val="009B12E8"/>
    <w:rsid w:val="009D0AA1"/>
    <w:rsid w:val="009E6DDB"/>
    <w:rsid w:val="00A063BA"/>
    <w:rsid w:val="00A0661A"/>
    <w:rsid w:val="00A15EE9"/>
    <w:rsid w:val="00A20C27"/>
    <w:rsid w:val="00A432FE"/>
    <w:rsid w:val="00A53181"/>
    <w:rsid w:val="00A55FFF"/>
    <w:rsid w:val="00A67D23"/>
    <w:rsid w:val="00A854AB"/>
    <w:rsid w:val="00A87C7F"/>
    <w:rsid w:val="00A922C2"/>
    <w:rsid w:val="00A94563"/>
    <w:rsid w:val="00AB3328"/>
    <w:rsid w:val="00AB619A"/>
    <w:rsid w:val="00AD0AD1"/>
    <w:rsid w:val="00AD67EB"/>
    <w:rsid w:val="00AE10EB"/>
    <w:rsid w:val="00AE32A5"/>
    <w:rsid w:val="00B02A80"/>
    <w:rsid w:val="00B5464B"/>
    <w:rsid w:val="00B64325"/>
    <w:rsid w:val="00B64803"/>
    <w:rsid w:val="00B72FC1"/>
    <w:rsid w:val="00BA584D"/>
    <w:rsid w:val="00BB3A7E"/>
    <w:rsid w:val="00BB3B63"/>
    <w:rsid w:val="00BD00CC"/>
    <w:rsid w:val="00BD2773"/>
    <w:rsid w:val="00BD29FC"/>
    <w:rsid w:val="00BE6546"/>
    <w:rsid w:val="00BE6D05"/>
    <w:rsid w:val="00C001E2"/>
    <w:rsid w:val="00C252FF"/>
    <w:rsid w:val="00C276A0"/>
    <w:rsid w:val="00C312E8"/>
    <w:rsid w:val="00C34C5A"/>
    <w:rsid w:val="00C4335E"/>
    <w:rsid w:val="00C43F5B"/>
    <w:rsid w:val="00C456C6"/>
    <w:rsid w:val="00C53B08"/>
    <w:rsid w:val="00C56DE4"/>
    <w:rsid w:val="00C61FB6"/>
    <w:rsid w:val="00C67830"/>
    <w:rsid w:val="00C74664"/>
    <w:rsid w:val="00C757FC"/>
    <w:rsid w:val="00C902F7"/>
    <w:rsid w:val="00CB4678"/>
    <w:rsid w:val="00CC148F"/>
    <w:rsid w:val="00CC16BC"/>
    <w:rsid w:val="00CC4485"/>
    <w:rsid w:val="00CC5084"/>
    <w:rsid w:val="00CD764D"/>
    <w:rsid w:val="00CE0D88"/>
    <w:rsid w:val="00CE1593"/>
    <w:rsid w:val="00CE186B"/>
    <w:rsid w:val="00CE2111"/>
    <w:rsid w:val="00D1263B"/>
    <w:rsid w:val="00D138F4"/>
    <w:rsid w:val="00D17CC1"/>
    <w:rsid w:val="00D37874"/>
    <w:rsid w:val="00D5613D"/>
    <w:rsid w:val="00D5669E"/>
    <w:rsid w:val="00D709E9"/>
    <w:rsid w:val="00D7302D"/>
    <w:rsid w:val="00D82CB0"/>
    <w:rsid w:val="00D82FCC"/>
    <w:rsid w:val="00D92313"/>
    <w:rsid w:val="00D950DC"/>
    <w:rsid w:val="00DA631F"/>
    <w:rsid w:val="00DC7EBA"/>
    <w:rsid w:val="00DE213C"/>
    <w:rsid w:val="00DE6594"/>
    <w:rsid w:val="00DF08C9"/>
    <w:rsid w:val="00DF2A5B"/>
    <w:rsid w:val="00E00407"/>
    <w:rsid w:val="00E00D96"/>
    <w:rsid w:val="00E059B4"/>
    <w:rsid w:val="00E074C1"/>
    <w:rsid w:val="00E143B8"/>
    <w:rsid w:val="00E60BC5"/>
    <w:rsid w:val="00E631C8"/>
    <w:rsid w:val="00E805EE"/>
    <w:rsid w:val="00E86D36"/>
    <w:rsid w:val="00E92CDF"/>
    <w:rsid w:val="00EB0236"/>
    <w:rsid w:val="00EC011E"/>
    <w:rsid w:val="00EC0E09"/>
    <w:rsid w:val="00EC35DD"/>
    <w:rsid w:val="00EC4696"/>
    <w:rsid w:val="00EC4A83"/>
    <w:rsid w:val="00EE40AB"/>
    <w:rsid w:val="00EF0A2D"/>
    <w:rsid w:val="00F01E50"/>
    <w:rsid w:val="00F24A02"/>
    <w:rsid w:val="00F40A55"/>
    <w:rsid w:val="00F44F1E"/>
    <w:rsid w:val="00F50194"/>
    <w:rsid w:val="00F550CB"/>
    <w:rsid w:val="00F76CA5"/>
    <w:rsid w:val="00F813D9"/>
    <w:rsid w:val="00F84C83"/>
    <w:rsid w:val="00FA0A2B"/>
    <w:rsid w:val="00FA4B8B"/>
    <w:rsid w:val="00FA6F5C"/>
    <w:rsid w:val="00FA728E"/>
    <w:rsid w:val="00FB39A8"/>
    <w:rsid w:val="00FB510E"/>
    <w:rsid w:val="00FC1FF2"/>
    <w:rsid w:val="00FF12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8DBF0"/>
  <w15:docId w15:val="{AC22EAF4-06ED-4530-85D8-110D8B7E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0A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7830"/>
    <w:pPr>
      <w:ind w:left="720"/>
      <w:contextualSpacing/>
    </w:pPr>
  </w:style>
  <w:style w:type="table" w:styleId="Tablaconcuadrcula">
    <w:name w:val="Table Grid"/>
    <w:basedOn w:val="Tablanormal"/>
    <w:uiPriority w:val="59"/>
    <w:rsid w:val="001D0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851ED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2819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19B1"/>
  </w:style>
  <w:style w:type="paragraph" w:styleId="Piedepgina">
    <w:name w:val="footer"/>
    <w:basedOn w:val="Normal"/>
    <w:link w:val="PiedepginaCar"/>
    <w:uiPriority w:val="99"/>
    <w:unhideWhenUsed/>
    <w:rsid w:val="002819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9B1"/>
  </w:style>
  <w:style w:type="paragraph" w:styleId="Textodeglobo">
    <w:name w:val="Balloon Text"/>
    <w:basedOn w:val="Normal"/>
    <w:link w:val="TextodegloboCar"/>
    <w:uiPriority w:val="99"/>
    <w:semiHidden/>
    <w:unhideWhenUsed/>
    <w:rsid w:val="002819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19B1"/>
    <w:rPr>
      <w:rFonts w:ascii="Tahoma" w:hAnsi="Tahoma" w:cs="Tahoma"/>
      <w:sz w:val="16"/>
      <w:szCs w:val="16"/>
    </w:rPr>
  </w:style>
  <w:style w:type="table" w:styleId="Sombreadoclaro-nfasis1">
    <w:name w:val="Light Shading Accent 1"/>
    <w:basedOn w:val="Tablanormal"/>
    <w:uiPriority w:val="60"/>
    <w:rsid w:val="0003042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notapie">
    <w:name w:val="footnote text"/>
    <w:basedOn w:val="Normal"/>
    <w:link w:val="TextonotapieCar"/>
    <w:unhideWhenUsed/>
    <w:rsid w:val="00A922C2"/>
    <w:pPr>
      <w:spacing w:after="0" w:line="240" w:lineRule="auto"/>
    </w:pPr>
    <w:rPr>
      <w:sz w:val="20"/>
      <w:szCs w:val="20"/>
    </w:rPr>
  </w:style>
  <w:style w:type="character" w:customStyle="1" w:styleId="TextonotapieCar">
    <w:name w:val="Texto nota pie Car"/>
    <w:basedOn w:val="Fuentedeprrafopredeter"/>
    <w:link w:val="Textonotapie"/>
    <w:rsid w:val="00A922C2"/>
    <w:rPr>
      <w:sz w:val="20"/>
      <w:szCs w:val="20"/>
    </w:rPr>
  </w:style>
  <w:style w:type="character" w:styleId="Refdenotaalpie">
    <w:name w:val="footnote reference"/>
    <w:basedOn w:val="Fuentedeprrafopredeter"/>
    <w:uiPriority w:val="99"/>
    <w:semiHidden/>
    <w:unhideWhenUsed/>
    <w:rsid w:val="00A922C2"/>
    <w:rPr>
      <w:vertAlign w:val="superscript"/>
    </w:rPr>
  </w:style>
  <w:style w:type="paragraph" w:styleId="Textonotaalfinal">
    <w:name w:val="endnote text"/>
    <w:basedOn w:val="Normal"/>
    <w:link w:val="TextonotaalfinalCar"/>
    <w:uiPriority w:val="99"/>
    <w:semiHidden/>
    <w:unhideWhenUsed/>
    <w:rsid w:val="004705B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705BC"/>
    <w:rPr>
      <w:sz w:val="20"/>
      <w:szCs w:val="20"/>
    </w:rPr>
  </w:style>
  <w:style w:type="character" w:styleId="Refdenotaalfinal">
    <w:name w:val="endnote reference"/>
    <w:basedOn w:val="Fuentedeprrafopredeter"/>
    <w:uiPriority w:val="99"/>
    <w:semiHidden/>
    <w:unhideWhenUsed/>
    <w:rsid w:val="004705BC"/>
    <w:rPr>
      <w:vertAlign w:val="superscript"/>
    </w:rPr>
  </w:style>
  <w:style w:type="paragraph" w:styleId="Ttulo">
    <w:name w:val="Title"/>
    <w:basedOn w:val="Normal"/>
    <w:next w:val="Normal"/>
    <w:link w:val="TtuloCar"/>
    <w:uiPriority w:val="10"/>
    <w:qFormat/>
    <w:rsid w:val="00092521"/>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092521"/>
    <w:rPr>
      <w:rFonts w:asciiTheme="majorHAnsi" w:eastAsiaTheme="majorEastAsia" w:hAnsiTheme="majorHAnsi" w:cstheme="majorBidi"/>
      <w:spacing w:val="5"/>
      <w:kern w:val="28"/>
      <w:sz w:val="52"/>
      <w:szCs w:val="52"/>
    </w:rPr>
  </w:style>
  <w:style w:type="paragraph" w:styleId="Bibliografa">
    <w:name w:val="Bibliography"/>
    <w:basedOn w:val="Normal"/>
    <w:next w:val="Normal"/>
    <w:uiPriority w:val="37"/>
    <w:unhideWhenUsed/>
    <w:rsid w:val="00830AC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320661">
      <w:bodyDiv w:val="1"/>
      <w:marLeft w:val="0"/>
      <w:marRight w:val="0"/>
      <w:marTop w:val="0"/>
      <w:marBottom w:val="0"/>
      <w:divBdr>
        <w:top w:val="none" w:sz="0" w:space="0" w:color="auto"/>
        <w:left w:val="none" w:sz="0" w:space="0" w:color="auto"/>
        <w:bottom w:val="none" w:sz="0" w:space="0" w:color="auto"/>
        <w:right w:val="none" w:sz="0" w:space="0" w:color="auto"/>
      </w:divBdr>
    </w:div>
    <w:div w:id="959798663">
      <w:bodyDiv w:val="1"/>
      <w:marLeft w:val="0"/>
      <w:marRight w:val="0"/>
      <w:marTop w:val="0"/>
      <w:marBottom w:val="0"/>
      <w:divBdr>
        <w:top w:val="none" w:sz="0" w:space="0" w:color="auto"/>
        <w:left w:val="none" w:sz="0" w:space="0" w:color="auto"/>
        <w:bottom w:val="none" w:sz="0" w:space="0" w:color="auto"/>
        <w:right w:val="none" w:sz="0" w:space="0" w:color="auto"/>
      </w:divBdr>
    </w:div>
    <w:div w:id="132856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77E6E-1DCB-41A6-9C64-6E1768FC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1153</Words>
  <Characters>7144</Characters>
  <Application>Microsoft Office Word</Application>
  <DocSecurity>0</DocSecurity>
  <Lines>193</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ESPINOZA ARAOS</dc:creator>
  <cp:lastModifiedBy>Sebastián Matías Muñoz Tapia</cp:lastModifiedBy>
  <cp:revision>10</cp:revision>
  <cp:lastPrinted>2013-09-30T13:10:00Z</cp:lastPrinted>
  <dcterms:created xsi:type="dcterms:W3CDTF">2015-01-19T20:43:00Z</dcterms:created>
  <dcterms:modified xsi:type="dcterms:W3CDTF">2025-08-17T19:49:00Z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id="f0mTWOrJ"/&gt;&lt;style id="http://www.zotero.org/styles/apa" locale="es-CL" hasBibliography="1" bibliographyStyleHasBeenSet="1"/&gt;&lt;prefs&gt;&lt;pref name="fieldType" value="Field"/&gt;&lt;/prefs&gt;&lt;/data&gt;</vt:lpwstr>
  </property>
</Properties>
</file>