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818F2" w14:textId="5C5483DB" w:rsidR="3BC190F3" w:rsidRDefault="3BC190F3" w:rsidP="382E54E4">
      <w:pPr>
        <w:shd w:val="clear" w:color="auto" w:fill="FFFFFF" w:themeFill="background1"/>
        <w:spacing w:after="0"/>
        <w:jc w:val="both"/>
        <w:rPr>
          <w:rFonts w:eastAsiaTheme="minorEastAsia"/>
          <w:sz w:val="22"/>
          <w:szCs w:val="22"/>
        </w:rPr>
      </w:pPr>
      <w:r>
        <w:rPr>
          <w:noProof/>
        </w:rPr>
        <w:drawing>
          <wp:inline distT="0" distB="0" distL="0" distR="0" wp14:anchorId="1CC733DA" wp14:editId="75F5CB29">
            <wp:extent cx="1154906" cy="1154906"/>
            <wp:effectExtent l="0" t="0" r="0" b="0"/>
            <wp:docPr id="447782460" name="Imagen 447782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154906" cy="1154906"/>
                    </a:xfrm>
                    <a:prstGeom prst="rect">
                      <a:avLst/>
                    </a:prstGeom>
                  </pic:spPr>
                </pic:pic>
              </a:graphicData>
            </a:graphic>
          </wp:inline>
        </w:drawing>
      </w:r>
    </w:p>
    <w:p w14:paraId="5F51DB43" w14:textId="34F2E6A8" w:rsidR="3BC190F3" w:rsidRDefault="3BC190F3" w:rsidP="382E54E4">
      <w:pPr>
        <w:shd w:val="clear" w:color="auto" w:fill="FFFFFF" w:themeFill="background1"/>
        <w:spacing w:after="0"/>
        <w:jc w:val="center"/>
        <w:rPr>
          <w:rFonts w:eastAsiaTheme="minorEastAsia"/>
          <w:b/>
          <w:bCs/>
          <w:sz w:val="22"/>
          <w:szCs w:val="22"/>
        </w:rPr>
      </w:pPr>
      <w:r w:rsidRPr="382E54E4">
        <w:rPr>
          <w:rFonts w:eastAsiaTheme="minorEastAsia"/>
          <w:b/>
          <w:bCs/>
          <w:sz w:val="22"/>
          <w:szCs w:val="22"/>
        </w:rPr>
        <w:t>Ficha Bibliográfica</w:t>
      </w:r>
    </w:p>
    <w:p w14:paraId="1CA6E5BF" w14:textId="567FFCD8" w:rsidR="3BC190F3" w:rsidRDefault="3BC190F3" w:rsidP="382E54E4">
      <w:pPr>
        <w:shd w:val="clear" w:color="auto" w:fill="FFFFFF" w:themeFill="background1"/>
        <w:spacing w:after="0"/>
        <w:jc w:val="right"/>
        <w:rPr>
          <w:rFonts w:eastAsiaTheme="minorEastAsia"/>
          <w:sz w:val="22"/>
          <w:szCs w:val="22"/>
        </w:rPr>
      </w:pPr>
      <w:r w:rsidRPr="382E54E4">
        <w:rPr>
          <w:rFonts w:eastAsiaTheme="minorEastAsia"/>
          <w:sz w:val="22"/>
          <w:szCs w:val="22"/>
        </w:rPr>
        <w:t xml:space="preserve">Nombre: Amelia </w:t>
      </w:r>
      <w:commentRangeStart w:id="0"/>
      <w:r w:rsidRPr="382E54E4">
        <w:rPr>
          <w:rFonts w:eastAsiaTheme="minorEastAsia"/>
          <w:sz w:val="22"/>
          <w:szCs w:val="22"/>
        </w:rPr>
        <w:t>Ramos</w:t>
      </w:r>
      <w:commentRangeEnd w:id="0"/>
      <w:r w:rsidR="002033C2">
        <w:rPr>
          <w:rStyle w:val="Refdecomentario"/>
        </w:rPr>
        <w:commentReference w:id="0"/>
      </w:r>
    </w:p>
    <w:p w14:paraId="09C79AAB" w14:textId="176958A8" w:rsidR="3BC190F3" w:rsidRDefault="3BC190F3" w:rsidP="382E54E4">
      <w:pPr>
        <w:shd w:val="clear" w:color="auto" w:fill="FFFFFF" w:themeFill="background1"/>
        <w:spacing w:after="0"/>
        <w:jc w:val="right"/>
        <w:rPr>
          <w:rFonts w:eastAsiaTheme="minorEastAsia"/>
          <w:sz w:val="22"/>
          <w:szCs w:val="22"/>
        </w:rPr>
      </w:pPr>
      <w:r w:rsidRPr="382E54E4">
        <w:rPr>
          <w:rFonts w:eastAsiaTheme="minorEastAsia"/>
          <w:sz w:val="22"/>
          <w:szCs w:val="22"/>
        </w:rPr>
        <w:t>Asignatura: Métodos Cuantitativos I</w:t>
      </w:r>
    </w:p>
    <w:p w14:paraId="7CE762C0" w14:textId="7EBAB090" w:rsidR="3BC190F3" w:rsidRDefault="3BC190F3" w:rsidP="382E54E4">
      <w:pPr>
        <w:shd w:val="clear" w:color="auto" w:fill="FFFFFF" w:themeFill="background1"/>
        <w:spacing w:after="0"/>
        <w:jc w:val="right"/>
        <w:rPr>
          <w:rFonts w:eastAsiaTheme="minorEastAsia"/>
          <w:sz w:val="22"/>
          <w:szCs w:val="22"/>
        </w:rPr>
      </w:pPr>
      <w:r w:rsidRPr="382E54E4">
        <w:rPr>
          <w:rFonts w:eastAsiaTheme="minorEastAsia"/>
          <w:sz w:val="22"/>
          <w:szCs w:val="22"/>
        </w:rPr>
        <w:t>Profesor: Sebastián Muñoz</w:t>
      </w:r>
    </w:p>
    <w:p w14:paraId="1E8182F2" w14:textId="0543C299" w:rsidR="75B827CA" w:rsidRDefault="75B827CA" w:rsidP="382E54E4">
      <w:pPr>
        <w:shd w:val="clear" w:color="auto" w:fill="FFFFFF" w:themeFill="background1"/>
        <w:spacing w:after="0"/>
        <w:jc w:val="right"/>
        <w:rPr>
          <w:rFonts w:eastAsiaTheme="minorEastAsia"/>
          <w:sz w:val="22"/>
          <w:szCs w:val="22"/>
        </w:rPr>
      </w:pPr>
      <w:r w:rsidRPr="382E54E4">
        <w:rPr>
          <w:rFonts w:eastAsiaTheme="minorEastAsia"/>
          <w:sz w:val="22"/>
          <w:szCs w:val="22"/>
        </w:rPr>
        <w:t xml:space="preserve">Fecha: </w:t>
      </w:r>
      <w:r w:rsidR="3BC190F3" w:rsidRPr="382E54E4">
        <w:rPr>
          <w:rFonts w:eastAsiaTheme="minorEastAsia"/>
          <w:sz w:val="22"/>
          <w:szCs w:val="22"/>
        </w:rPr>
        <w:t>1</w:t>
      </w:r>
      <w:r w:rsidR="17EE59DB" w:rsidRPr="382E54E4">
        <w:rPr>
          <w:rFonts w:eastAsiaTheme="minorEastAsia"/>
          <w:sz w:val="22"/>
          <w:szCs w:val="22"/>
        </w:rPr>
        <w:t>7 de octubre</w:t>
      </w:r>
      <w:r w:rsidR="3BC190F3" w:rsidRPr="382E54E4">
        <w:rPr>
          <w:rFonts w:eastAsiaTheme="minorEastAsia"/>
          <w:sz w:val="22"/>
          <w:szCs w:val="22"/>
        </w:rPr>
        <w:t xml:space="preserve"> de 202</w:t>
      </w:r>
      <w:r w:rsidR="47A9B9B5" w:rsidRPr="382E54E4">
        <w:rPr>
          <w:rFonts w:eastAsiaTheme="minorEastAsia"/>
          <w:sz w:val="22"/>
          <w:szCs w:val="22"/>
        </w:rPr>
        <w:t>4</w:t>
      </w:r>
    </w:p>
    <w:p w14:paraId="31FC53B7" w14:textId="4D740F96" w:rsidR="382E54E4" w:rsidRDefault="382E54E4" w:rsidP="382E54E4">
      <w:pPr>
        <w:shd w:val="clear" w:color="auto" w:fill="FFFFFF" w:themeFill="background1"/>
        <w:spacing w:after="240"/>
        <w:jc w:val="both"/>
        <w:rPr>
          <w:rFonts w:eastAsiaTheme="minorEastAsia"/>
          <w:sz w:val="22"/>
          <w:szCs w:val="22"/>
        </w:rPr>
      </w:pPr>
    </w:p>
    <w:p w14:paraId="72526EC0" w14:textId="7EE09781" w:rsidR="5D3F94B7" w:rsidRDefault="5D3F94B7" w:rsidP="382E54E4">
      <w:pPr>
        <w:shd w:val="clear" w:color="auto" w:fill="FFFFFF" w:themeFill="background1"/>
        <w:spacing w:after="240"/>
        <w:jc w:val="both"/>
        <w:rPr>
          <w:rFonts w:eastAsiaTheme="minorEastAsia"/>
          <w:b/>
          <w:bCs/>
          <w:sz w:val="22"/>
          <w:szCs w:val="22"/>
        </w:rPr>
      </w:pPr>
      <w:r w:rsidRPr="382E54E4">
        <w:rPr>
          <w:rFonts w:eastAsiaTheme="minorEastAsia"/>
          <w:b/>
          <w:bCs/>
          <w:sz w:val="22"/>
          <w:szCs w:val="22"/>
        </w:rPr>
        <w:t>T</w:t>
      </w:r>
      <w:r w:rsidR="2FB02FBE" w:rsidRPr="382E54E4">
        <w:rPr>
          <w:rFonts w:eastAsiaTheme="minorEastAsia"/>
          <w:b/>
          <w:bCs/>
          <w:sz w:val="22"/>
          <w:szCs w:val="22"/>
        </w:rPr>
        <w:t xml:space="preserve">exto 1: </w:t>
      </w:r>
      <w:r w:rsidR="63532470" w:rsidRPr="382E54E4">
        <w:rPr>
          <w:rFonts w:eastAsiaTheme="minorEastAsia"/>
          <w:b/>
          <w:bCs/>
          <w:sz w:val="22"/>
          <w:szCs w:val="22"/>
        </w:rPr>
        <w:t>Diseño y validación de un cuestionario sobre conocimientos de sexualidad responsable en jóvenes</w:t>
      </w:r>
    </w:p>
    <w:p w14:paraId="39999EB6" w14:textId="25953CE9" w:rsidR="2A0B29D8" w:rsidRDefault="2A0B29D8" w:rsidP="382E54E4">
      <w:pPr>
        <w:spacing w:after="240"/>
        <w:jc w:val="both"/>
        <w:rPr>
          <w:rFonts w:eastAsiaTheme="minorEastAsia"/>
          <w:color w:val="242424"/>
          <w:sz w:val="22"/>
          <w:szCs w:val="22"/>
        </w:rPr>
      </w:pPr>
      <w:r w:rsidRPr="382E54E4">
        <w:rPr>
          <w:rFonts w:eastAsiaTheme="minorEastAsia"/>
          <w:b/>
          <w:bCs/>
          <w:sz w:val="22"/>
          <w:szCs w:val="22"/>
        </w:rPr>
        <w:t>Referencia:</w:t>
      </w:r>
      <w:r w:rsidR="7A240659" w:rsidRPr="382E54E4">
        <w:rPr>
          <w:rFonts w:eastAsiaTheme="minorEastAsia"/>
          <w:sz w:val="22"/>
          <w:szCs w:val="22"/>
        </w:rPr>
        <w:t xml:space="preserve"> </w:t>
      </w:r>
      <w:r w:rsidRPr="382E54E4">
        <w:rPr>
          <w:rFonts w:eastAsiaTheme="minorEastAsia"/>
          <w:sz w:val="22"/>
          <w:szCs w:val="22"/>
        </w:rPr>
        <w:t>León-Larios, F</w:t>
      </w:r>
      <w:r w:rsidR="62B10073" w:rsidRPr="382E54E4">
        <w:rPr>
          <w:rFonts w:eastAsiaTheme="minorEastAsia"/>
          <w:sz w:val="22"/>
          <w:szCs w:val="22"/>
        </w:rPr>
        <w:t xml:space="preserve">. </w:t>
      </w:r>
      <w:r w:rsidR="62234218" w:rsidRPr="382E54E4">
        <w:rPr>
          <w:rFonts w:eastAsiaTheme="minorEastAsia"/>
          <w:sz w:val="22"/>
          <w:szCs w:val="22"/>
        </w:rPr>
        <w:t>y Gómez</w:t>
      </w:r>
      <w:r w:rsidRPr="382E54E4">
        <w:rPr>
          <w:rFonts w:eastAsiaTheme="minorEastAsia"/>
          <w:sz w:val="22"/>
          <w:szCs w:val="22"/>
        </w:rPr>
        <w:t>-Baya</w:t>
      </w:r>
      <w:r w:rsidR="0AA7DF24" w:rsidRPr="382E54E4">
        <w:rPr>
          <w:rFonts w:eastAsiaTheme="minorEastAsia"/>
          <w:sz w:val="22"/>
          <w:szCs w:val="22"/>
        </w:rPr>
        <w:t xml:space="preserve">, D. </w:t>
      </w:r>
      <w:r w:rsidRPr="382E54E4">
        <w:rPr>
          <w:rFonts w:eastAsiaTheme="minorEastAsia"/>
          <w:sz w:val="22"/>
          <w:szCs w:val="22"/>
        </w:rPr>
        <w:t xml:space="preserve"> </w:t>
      </w:r>
      <w:r w:rsidR="01E5BF85" w:rsidRPr="382E54E4">
        <w:rPr>
          <w:rFonts w:eastAsiaTheme="minorEastAsia"/>
          <w:sz w:val="22"/>
          <w:szCs w:val="22"/>
        </w:rPr>
        <w:t xml:space="preserve">(2018). </w:t>
      </w:r>
      <w:r w:rsidR="01E5BF85" w:rsidRPr="382E54E4">
        <w:rPr>
          <w:rFonts w:eastAsiaTheme="minorEastAsia"/>
          <w:i/>
          <w:iCs/>
          <w:sz w:val="22"/>
          <w:szCs w:val="22"/>
        </w:rPr>
        <w:t>Diseño y validación de un cuestionario sobre conocimientos de sexualidad responsable en jóvenes</w:t>
      </w:r>
      <w:r w:rsidR="529CC2DE" w:rsidRPr="382E54E4">
        <w:rPr>
          <w:rFonts w:eastAsiaTheme="minorEastAsia"/>
          <w:i/>
          <w:iCs/>
          <w:sz w:val="22"/>
          <w:szCs w:val="22"/>
        </w:rPr>
        <w:t xml:space="preserve">. </w:t>
      </w:r>
      <w:r w:rsidR="4FCF3C6B" w:rsidRPr="382E54E4">
        <w:rPr>
          <w:rFonts w:eastAsiaTheme="minorEastAsia"/>
          <w:sz w:val="22"/>
          <w:szCs w:val="22"/>
        </w:rPr>
        <w:t xml:space="preserve">Revista Scielo. </w:t>
      </w:r>
      <w:hyperlink r:id="rId13">
        <w:r w:rsidR="4FCF3C6B" w:rsidRPr="382E54E4">
          <w:rPr>
            <w:rStyle w:val="Hipervnculo"/>
            <w:rFonts w:eastAsiaTheme="minorEastAsia"/>
            <w:color w:val="000000" w:themeColor="text1"/>
            <w:sz w:val="22"/>
            <w:szCs w:val="22"/>
          </w:rPr>
          <w:t>https://scielo.isciii.es/pdf/resp/v92/1135-5727-resp-92-e20180628.pdf</w:t>
        </w:r>
      </w:hyperlink>
      <w:r w:rsidR="4FCF3C6B" w:rsidRPr="382E54E4">
        <w:rPr>
          <w:rFonts w:eastAsiaTheme="minorEastAsia"/>
          <w:color w:val="000000" w:themeColor="text1"/>
          <w:sz w:val="22"/>
          <w:szCs w:val="22"/>
        </w:rPr>
        <w:t xml:space="preserve"> </w:t>
      </w:r>
    </w:p>
    <w:p w14:paraId="63B77074" w14:textId="59C93596" w:rsidR="43923C2E" w:rsidRDefault="43923C2E" w:rsidP="382E54E4">
      <w:pPr>
        <w:spacing w:after="240"/>
        <w:jc w:val="both"/>
        <w:rPr>
          <w:rFonts w:eastAsiaTheme="minorEastAsia"/>
          <w:b/>
          <w:bCs/>
          <w:color w:val="242424"/>
          <w:sz w:val="22"/>
          <w:szCs w:val="22"/>
        </w:rPr>
      </w:pPr>
      <w:r w:rsidRPr="382E54E4">
        <w:rPr>
          <w:rFonts w:eastAsiaTheme="minorEastAsia"/>
          <w:b/>
          <w:bCs/>
          <w:color w:val="242424"/>
          <w:sz w:val="22"/>
          <w:szCs w:val="22"/>
        </w:rPr>
        <w:t>Cita de autores</w:t>
      </w:r>
    </w:p>
    <w:p w14:paraId="6C4EA6AA" w14:textId="6FA6AFD3" w:rsidR="690A4C19" w:rsidRDefault="690A4C19" w:rsidP="382E54E4">
      <w:pPr>
        <w:spacing w:after="240"/>
        <w:jc w:val="both"/>
        <w:rPr>
          <w:rFonts w:ascii="Aptos" w:eastAsia="Aptos" w:hAnsi="Aptos" w:cs="Aptos"/>
          <w:sz w:val="22"/>
          <w:szCs w:val="22"/>
        </w:rPr>
      </w:pPr>
      <w:r w:rsidRPr="382E54E4">
        <w:rPr>
          <w:rFonts w:ascii="Aptos" w:eastAsia="Aptos" w:hAnsi="Aptos" w:cs="Aptos"/>
          <w:i/>
          <w:iCs/>
          <w:sz w:val="22"/>
          <w:szCs w:val="22"/>
        </w:rPr>
        <w:t>“</w:t>
      </w:r>
      <w:r w:rsidR="5F81B16F" w:rsidRPr="382E54E4">
        <w:rPr>
          <w:rFonts w:ascii="Aptos" w:eastAsia="Aptos" w:hAnsi="Aptos" w:cs="Aptos"/>
          <w:i/>
          <w:iCs/>
          <w:sz w:val="22"/>
          <w:szCs w:val="22"/>
        </w:rPr>
        <w:t>Durante la época universitaria se tiene que continuar la formación en la materia. Algunos estudios ponen de manifiesto como durante esta etapa los jóvenes participan de una vida sexual más activa, por lo que suele ser una etapa de alto riesgo y debe continuarse la formación hasta los 25 años de edad, período en el que aún pueden permanecer cursando sus estudios.</w:t>
      </w:r>
      <w:r w:rsidR="1F48B408" w:rsidRPr="382E54E4">
        <w:rPr>
          <w:rFonts w:ascii="Aptos" w:eastAsia="Aptos" w:hAnsi="Aptos" w:cs="Aptos"/>
          <w:i/>
          <w:iCs/>
          <w:sz w:val="22"/>
          <w:szCs w:val="22"/>
        </w:rPr>
        <w:t>”</w:t>
      </w:r>
      <w:r w:rsidR="5F81B16F" w:rsidRPr="382E54E4">
        <w:rPr>
          <w:rFonts w:ascii="Aptos" w:eastAsia="Aptos" w:hAnsi="Aptos" w:cs="Aptos"/>
          <w:i/>
          <w:iCs/>
          <w:sz w:val="22"/>
          <w:szCs w:val="22"/>
        </w:rPr>
        <w:t xml:space="preserve"> </w:t>
      </w:r>
      <w:r w:rsidR="5F81B16F" w:rsidRPr="382E54E4">
        <w:rPr>
          <w:rFonts w:ascii="Aptos" w:eastAsia="Aptos" w:hAnsi="Aptos" w:cs="Aptos"/>
          <w:sz w:val="22"/>
          <w:szCs w:val="22"/>
        </w:rPr>
        <w:t>( 2018</w:t>
      </w:r>
      <w:r w:rsidR="4F3B1583" w:rsidRPr="382E54E4">
        <w:rPr>
          <w:rFonts w:ascii="Aptos" w:eastAsia="Aptos" w:hAnsi="Aptos" w:cs="Aptos"/>
          <w:sz w:val="22"/>
          <w:szCs w:val="22"/>
        </w:rPr>
        <w:t>,</w:t>
      </w:r>
      <w:r w:rsidR="5F81B16F" w:rsidRPr="382E54E4">
        <w:rPr>
          <w:rFonts w:ascii="Aptos" w:eastAsia="Aptos" w:hAnsi="Aptos" w:cs="Aptos"/>
          <w:sz w:val="22"/>
          <w:szCs w:val="22"/>
        </w:rPr>
        <w:t xml:space="preserve"> </w:t>
      </w:r>
      <w:r w:rsidR="26DF9EE8" w:rsidRPr="382E54E4">
        <w:rPr>
          <w:rFonts w:ascii="Aptos" w:eastAsia="Aptos" w:hAnsi="Aptos" w:cs="Aptos"/>
          <w:sz w:val="22"/>
          <w:szCs w:val="22"/>
        </w:rPr>
        <w:t>p</w:t>
      </w:r>
      <w:r w:rsidR="5F81B16F" w:rsidRPr="382E54E4">
        <w:rPr>
          <w:rFonts w:ascii="Aptos" w:eastAsia="Aptos" w:hAnsi="Aptos" w:cs="Aptos"/>
          <w:sz w:val="22"/>
          <w:szCs w:val="22"/>
        </w:rPr>
        <w:t>.</w:t>
      </w:r>
      <w:r w:rsidR="79EE4E5E" w:rsidRPr="382E54E4">
        <w:rPr>
          <w:rFonts w:ascii="Aptos" w:eastAsia="Aptos" w:hAnsi="Aptos" w:cs="Aptos"/>
          <w:sz w:val="22"/>
          <w:szCs w:val="22"/>
        </w:rPr>
        <w:t xml:space="preserve"> </w:t>
      </w:r>
      <w:r w:rsidR="0AC8551C" w:rsidRPr="382E54E4">
        <w:rPr>
          <w:rFonts w:ascii="Aptos" w:eastAsia="Aptos" w:hAnsi="Aptos" w:cs="Aptos"/>
          <w:sz w:val="22"/>
          <w:szCs w:val="22"/>
        </w:rPr>
        <w:t>2)</w:t>
      </w:r>
    </w:p>
    <w:p w14:paraId="19DF862E" w14:textId="5BABC7B0" w:rsidR="0AC8551C" w:rsidRDefault="0AC8551C" w:rsidP="382E54E4">
      <w:pPr>
        <w:spacing w:after="240"/>
        <w:jc w:val="both"/>
        <w:rPr>
          <w:rFonts w:ascii="Aptos" w:eastAsia="Aptos" w:hAnsi="Aptos" w:cs="Aptos"/>
          <w:sz w:val="22"/>
          <w:szCs w:val="22"/>
        </w:rPr>
      </w:pPr>
      <w:r w:rsidRPr="382E54E4">
        <w:rPr>
          <w:rFonts w:ascii="Aptos" w:eastAsia="Aptos" w:hAnsi="Aptos" w:cs="Aptos"/>
          <w:i/>
          <w:iCs/>
          <w:sz w:val="22"/>
          <w:szCs w:val="22"/>
        </w:rPr>
        <w:t>“El objetivo de este estudio fue diseñar y validar un instrumento breve que permita evaluar los conocimientos, prácticas y comportamientos sexuales de los jóvenes universitarios para poder diseñar programas de educación sanitaria en el contexto universitario.”</w:t>
      </w:r>
      <w:r w:rsidRPr="382E54E4">
        <w:rPr>
          <w:rFonts w:ascii="Aptos" w:eastAsia="Aptos" w:hAnsi="Aptos" w:cs="Aptos"/>
          <w:sz w:val="22"/>
          <w:szCs w:val="22"/>
        </w:rPr>
        <w:t xml:space="preserve"> (2018, p. 3)</w:t>
      </w:r>
    </w:p>
    <w:p w14:paraId="76167CAA" w14:textId="209CD72F" w:rsidR="0855FEA1" w:rsidRDefault="0855FEA1" w:rsidP="382E54E4">
      <w:pPr>
        <w:spacing w:after="240"/>
        <w:jc w:val="both"/>
        <w:rPr>
          <w:rFonts w:ascii="Aptos" w:eastAsia="Aptos" w:hAnsi="Aptos" w:cs="Aptos"/>
          <w:sz w:val="22"/>
          <w:szCs w:val="22"/>
        </w:rPr>
      </w:pPr>
      <w:r w:rsidRPr="382E54E4">
        <w:rPr>
          <w:rFonts w:ascii="Aptos" w:eastAsia="Aptos" w:hAnsi="Aptos" w:cs="Aptos"/>
          <w:i/>
          <w:iCs/>
          <w:sz w:val="22"/>
          <w:szCs w:val="22"/>
        </w:rPr>
        <w:t>“Hoy día la educación sexual se inicia a etapas más tempranas, ya en la escuela los alumnos y alumnas comienzan a recibir formación sobre sexualidad responsable y planificación familiar. No obstante, la realidad es que se ha de cuestionar la efectividad de estas formaciones, pues una vez que se incorporan al ámbito universitario se siguen observando conductas de riesgo en los jóvenes. Estudios previos han observado que, a pesar del acceso a la información que se tiene actualmente, los jóvenes siguen adoptando conductas de sexuales riesgo”</w:t>
      </w:r>
      <w:r w:rsidRPr="382E54E4">
        <w:rPr>
          <w:rFonts w:ascii="Aptos" w:eastAsia="Aptos" w:hAnsi="Aptos" w:cs="Aptos"/>
          <w:sz w:val="22"/>
          <w:szCs w:val="22"/>
        </w:rPr>
        <w:t xml:space="preserve"> (2018, p. 11)</w:t>
      </w:r>
    </w:p>
    <w:p w14:paraId="2A73502E" w14:textId="68B32BE7" w:rsidR="43923C2E" w:rsidRDefault="43923C2E" w:rsidP="382E54E4">
      <w:pPr>
        <w:shd w:val="clear" w:color="auto" w:fill="FFFFFF" w:themeFill="background1"/>
        <w:spacing w:after="240"/>
        <w:rPr>
          <w:rFonts w:eastAsiaTheme="minorEastAsia"/>
          <w:b/>
          <w:bCs/>
          <w:color w:val="242424"/>
          <w:sz w:val="22"/>
          <w:szCs w:val="22"/>
        </w:rPr>
      </w:pPr>
      <w:r w:rsidRPr="382E54E4">
        <w:rPr>
          <w:rFonts w:eastAsiaTheme="minorEastAsia"/>
          <w:b/>
          <w:bCs/>
          <w:color w:val="242424"/>
          <w:sz w:val="22"/>
          <w:szCs w:val="22"/>
        </w:rPr>
        <w:t>Definición de conceptos principales</w:t>
      </w:r>
    </w:p>
    <w:p w14:paraId="022824B2" w14:textId="3152C25A" w:rsidR="5567C7E8" w:rsidRDefault="5567C7E8" w:rsidP="382E54E4">
      <w:pPr>
        <w:shd w:val="clear" w:color="auto" w:fill="FFFFFF" w:themeFill="background1"/>
        <w:spacing w:after="240"/>
        <w:jc w:val="both"/>
        <w:rPr>
          <w:rFonts w:eastAsiaTheme="minorEastAsia"/>
          <w:color w:val="242424"/>
          <w:sz w:val="22"/>
          <w:szCs w:val="22"/>
        </w:rPr>
      </w:pPr>
      <w:r w:rsidRPr="382E54E4">
        <w:rPr>
          <w:rFonts w:eastAsiaTheme="minorEastAsia"/>
          <w:color w:val="242424"/>
          <w:sz w:val="22"/>
          <w:szCs w:val="22"/>
        </w:rPr>
        <w:t>Identidad de género:</w:t>
      </w:r>
      <w:r w:rsidRPr="382E54E4">
        <w:rPr>
          <w:rFonts w:ascii="Aptos" w:eastAsia="Aptos" w:hAnsi="Aptos" w:cs="Aptos"/>
          <w:sz w:val="22"/>
          <w:szCs w:val="22"/>
        </w:rPr>
        <w:t xml:space="preserve"> La identidad de género se refiere a la experiencia interna y personal de género de una persona, es decir, cómo una persona se identifica en relación a las categorías de género</w:t>
      </w:r>
      <w:r w:rsidR="7E03950A" w:rsidRPr="382E54E4">
        <w:rPr>
          <w:rFonts w:ascii="Aptos" w:eastAsia="Aptos" w:hAnsi="Aptos" w:cs="Aptos"/>
          <w:sz w:val="22"/>
          <w:szCs w:val="22"/>
        </w:rPr>
        <w:t xml:space="preserve">, </w:t>
      </w:r>
      <w:r w:rsidRPr="382E54E4">
        <w:rPr>
          <w:rFonts w:ascii="Aptos" w:eastAsia="Aptos" w:hAnsi="Aptos" w:cs="Aptos"/>
          <w:sz w:val="22"/>
          <w:szCs w:val="22"/>
        </w:rPr>
        <w:t>como masculino, femenino, ambos, ninguno, o cualquier otro espectro de género. Esta identidad puede o no coincidir con el sexo asignado al nacer ( hombre o mujer).</w:t>
      </w:r>
    </w:p>
    <w:p w14:paraId="1D459E14" w14:textId="5B2ABEC6" w:rsidR="19D5317A" w:rsidRDefault="19D5317A" w:rsidP="382E54E4">
      <w:pPr>
        <w:shd w:val="clear" w:color="auto" w:fill="FFFFFF" w:themeFill="background1"/>
        <w:spacing w:after="240"/>
        <w:jc w:val="both"/>
        <w:rPr>
          <w:rFonts w:ascii="Aptos" w:eastAsia="Aptos" w:hAnsi="Aptos" w:cs="Aptos"/>
          <w:sz w:val="22"/>
          <w:szCs w:val="22"/>
        </w:rPr>
      </w:pPr>
      <w:r w:rsidRPr="382E54E4">
        <w:rPr>
          <w:rFonts w:ascii="Aptos" w:eastAsia="Aptos" w:hAnsi="Aptos" w:cs="Aptos"/>
          <w:sz w:val="22"/>
          <w:szCs w:val="22"/>
        </w:rPr>
        <w:lastRenderedPageBreak/>
        <w:t>Métodos anticonceptivos: Los métodos anticonceptivos son técnicas, dispositivos, medicamentos o procedimientos utilizados para prevenir el embarazo.</w:t>
      </w:r>
      <w:r w:rsidR="1649F2BC" w:rsidRPr="382E54E4">
        <w:rPr>
          <w:rFonts w:ascii="Aptos" w:eastAsia="Aptos" w:hAnsi="Aptos" w:cs="Aptos"/>
          <w:sz w:val="22"/>
          <w:szCs w:val="22"/>
        </w:rPr>
        <w:t xml:space="preserve"> Se dividen en anticonceptivos de barrera y de intervención hormonal.</w:t>
      </w:r>
      <w:r w:rsidRPr="382E54E4">
        <w:rPr>
          <w:rFonts w:ascii="Aptos" w:eastAsia="Aptos" w:hAnsi="Aptos" w:cs="Aptos"/>
          <w:sz w:val="22"/>
          <w:szCs w:val="22"/>
        </w:rPr>
        <w:t xml:space="preserve"> Estos métodos incluyen, pero no se limitan a:</w:t>
      </w:r>
      <w:r w:rsidR="67464005" w:rsidRPr="382E54E4">
        <w:rPr>
          <w:rFonts w:ascii="Aptos" w:eastAsia="Aptos" w:hAnsi="Aptos" w:cs="Aptos"/>
          <w:sz w:val="22"/>
          <w:szCs w:val="22"/>
        </w:rPr>
        <w:t xml:space="preserve"> preservativos masculinos y femeninos, pastillas anticonceptivas, inyecciones, implantes y parches, entre otros.</w:t>
      </w:r>
    </w:p>
    <w:p w14:paraId="785603CE" w14:textId="22089F42" w:rsidR="02B72FA3" w:rsidRDefault="02B72FA3" w:rsidP="382E54E4">
      <w:pPr>
        <w:shd w:val="clear" w:color="auto" w:fill="FFFFFF" w:themeFill="background1"/>
        <w:spacing w:after="240"/>
        <w:jc w:val="both"/>
        <w:rPr>
          <w:rFonts w:ascii="Aptos" w:eastAsia="Aptos" w:hAnsi="Aptos" w:cs="Aptos"/>
          <w:sz w:val="22"/>
          <w:szCs w:val="22"/>
        </w:rPr>
      </w:pPr>
      <w:r w:rsidRPr="382E54E4">
        <w:rPr>
          <w:rFonts w:ascii="Aptos" w:eastAsia="Aptos" w:hAnsi="Aptos" w:cs="Aptos"/>
          <w:sz w:val="22"/>
          <w:szCs w:val="22"/>
        </w:rPr>
        <w:t>Educación Sexual: Es un proceso de enseñanza y aprendizaje integral que aborda aspectos físicos, emocionales, sociales, y éticos relacionados con la sexualidad. Su propósito es ayudar a las personas a entender mejor su cuerpo, tomar decisiones informadas, establecer relaciones saludables, y cuidar de su bienestar emocional y físico.</w:t>
      </w:r>
    </w:p>
    <w:p w14:paraId="7B14ECAD" w14:textId="68D094D1" w:rsidR="43923C2E" w:rsidRDefault="43923C2E" w:rsidP="382E54E4">
      <w:pPr>
        <w:shd w:val="clear" w:color="auto" w:fill="FFFFFF" w:themeFill="background1"/>
        <w:spacing w:after="240"/>
        <w:rPr>
          <w:rFonts w:eastAsiaTheme="minorEastAsia"/>
          <w:b/>
          <w:bCs/>
          <w:color w:val="242424"/>
          <w:sz w:val="22"/>
          <w:szCs w:val="22"/>
        </w:rPr>
      </w:pPr>
      <w:r w:rsidRPr="382E54E4">
        <w:rPr>
          <w:rFonts w:eastAsiaTheme="minorEastAsia"/>
          <w:b/>
          <w:bCs/>
          <w:color w:val="242424"/>
          <w:sz w:val="22"/>
          <w:szCs w:val="22"/>
        </w:rPr>
        <w:t xml:space="preserve">Forma de operacionalización </w:t>
      </w:r>
    </w:p>
    <w:p w14:paraId="475986C7" w14:textId="5D3324DB" w:rsidR="64955EA6" w:rsidRDefault="64955EA6" w:rsidP="382E54E4">
      <w:pPr>
        <w:shd w:val="clear" w:color="auto" w:fill="FFFFFF" w:themeFill="background1"/>
        <w:spacing w:after="240"/>
        <w:rPr>
          <w:rFonts w:eastAsiaTheme="minorEastAsia"/>
          <w:color w:val="242424"/>
          <w:sz w:val="22"/>
          <w:szCs w:val="22"/>
        </w:rPr>
      </w:pPr>
      <w:r w:rsidRPr="382E54E4">
        <w:rPr>
          <w:rFonts w:eastAsiaTheme="minorEastAsia"/>
          <w:color w:val="242424"/>
          <w:sz w:val="22"/>
          <w:szCs w:val="22"/>
        </w:rPr>
        <w:t>No se presenta una operacionalización</w:t>
      </w:r>
    </w:p>
    <w:p w14:paraId="751998E3" w14:textId="16B735C7" w:rsidR="6E812EF6" w:rsidRDefault="6E812EF6" w:rsidP="382E54E4">
      <w:pPr>
        <w:shd w:val="clear" w:color="auto" w:fill="FFFFFF" w:themeFill="background1"/>
        <w:spacing w:after="240"/>
        <w:rPr>
          <w:rFonts w:eastAsiaTheme="minorEastAsia"/>
          <w:b/>
          <w:bCs/>
          <w:color w:val="242424"/>
          <w:sz w:val="22"/>
          <w:szCs w:val="22"/>
        </w:rPr>
      </w:pPr>
      <w:r w:rsidRPr="382E54E4">
        <w:rPr>
          <w:rFonts w:eastAsiaTheme="minorEastAsia"/>
          <w:b/>
          <w:bCs/>
          <w:color w:val="242424"/>
          <w:sz w:val="22"/>
          <w:szCs w:val="22"/>
        </w:rPr>
        <w:t>M</w:t>
      </w:r>
      <w:r w:rsidR="43923C2E" w:rsidRPr="382E54E4">
        <w:rPr>
          <w:rFonts w:eastAsiaTheme="minorEastAsia"/>
          <w:b/>
          <w:bCs/>
          <w:color w:val="242424"/>
          <w:sz w:val="22"/>
          <w:szCs w:val="22"/>
        </w:rPr>
        <w:t>etodología</w:t>
      </w:r>
    </w:p>
    <w:p w14:paraId="2D438DD6" w14:textId="6B6FBA9F" w:rsidR="4B5CBBD7" w:rsidRDefault="4B5CBBD7" w:rsidP="382E54E4">
      <w:pPr>
        <w:shd w:val="clear" w:color="auto" w:fill="FFFFFF" w:themeFill="background1"/>
        <w:spacing w:after="240"/>
        <w:jc w:val="both"/>
        <w:rPr>
          <w:rFonts w:eastAsiaTheme="minorEastAsia"/>
          <w:color w:val="242424"/>
          <w:sz w:val="22"/>
          <w:szCs w:val="22"/>
        </w:rPr>
      </w:pPr>
      <w:r w:rsidRPr="382E54E4">
        <w:rPr>
          <w:rFonts w:eastAsiaTheme="minorEastAsia"/>
          <w:color w:val="242424"/>
          <w:sz w:val="22"/>
          <w:szCs w:val="22"/>
        </w:rPr>
        <w:t>Muestra: Para la investigación participó una muestra aleatoria de estudiantes de la Universidad de Sevilla</w:t>
      </w:r>
      <w:r w:rsidR="6F2F87B4" w:rsidRPr="382E54E4">
        <w:rPr>
          <w:rFonts w:eastAsiaTheme="minorEastAsia"/>
          <w:color w:val="242424"/>
          <w:sz w:val="22"/>
          <w:szCs w:val="22"/>
        </w:rPr>
        <w:t>, cuyo criterio de participación fue la aceptación y firma de un consentimiento informado. La población objeto fue de 3.349 estud</w:t>
      </w:r>
      <w:r w:rsidR="470A2E26" w:rsidRPr="382E54E4">
        <w:rPr>
          <w:rFonts w:eastAsiaTheme="minorEastAsia"/>
          <w:color w:val="242424"/>
          <w:sz w:val="22"/>
          <w:szCs w:val="22"/>
        </w:rPr>
        <w:t>iantes.</w:t>
      </w:r>
    </w:p>
    <w:p w14:paraId="41CC6007" w14:textId="570B7BB9" w:rsidR="00544993" w:rsidRDefault="00544993" w:rsidP="382E54E4">
      <w:pPr>
        <w:shd w:val="clear" w:color="auto" w:fill="FFFFFF" w:themeFill="background1"/>
        <w:spacing w:after="240"/>
        <w:jc w:val="both"/>
        <w:rPr>
          <w:rFonts w:eastAsiaTheme="minorEastAsia"/>
          <w:color w:val="242424"/>
          <w:sz w:val="22"/>
          <w:szCs w:val="22"/>
        </w:rPr>
      </w:pPr>
      <w:r w:rsidRPr="382E54E4">
        <w:rPr>
          <w:rFonts w:eastAsiaTheme="minorEastAsia"/>
          <w:color w:val="242424"/>
          <w:sz w:val="22"/>
          <w:szCs w:val="22"/>
        </w:rPr>
        <w:t>Cuestionario: El cuestionario se dividió en dos partes; la primera de variables sociodemográficas y la segunda del patrón de conducta sexual de los jóvenes</w:t>
      </w:r>
      <w:r w:rsidR="177B51B6" w:rsidRPr="382E54E4">
        <w:rPr>
          <w:rFonts w:eastAsiaTheme="minorEastAsia"/>
          <w:color w:val="242424"/>
          <w:sz w:val="22"/>
          <w:szCs w:val="22"/>
        </w:rPr>
        <w:t xml:space="preserve">. El cuestionario se construyó en base a la bibliografía existente sobre el tema, y se compuso por 9 ítems </w:t>
      </w:r>
      <w:r w:rsidR="408AE0E2" w:rsidRPr="382E54E4">
        <w:rPr>
          <w:rFonts w:eastAsiaTheme="minorEastAsia"/>
          <w:color w:val="242424"/>
          <w:sz w:val="22"/>
          <w:szCs w:val="22"/>
        </w:rPr>
        <w:t>de alternativas dicotómicas “verdadero/falso”. También se buscó evitar un sesgo en las preguntas, por lo que se formularo</w:t>
      </w:r>
      <w:r w:rsidR="0062BE46" w:rsidRPr="382E54E4">
        <w:rPr>
          <w:rFonts w:eastAsiaTheme="minorEastAsia"/>
          <w:color w:val="242424"/>
          <w:sz w:val="22"/>
          <w:szCs w:val="22"/>
        </w:rPr>
        <w:t>n con tonos tan positivos como negativos.</w:t>
      </w:r>
    </w:p>
    <w:p w14:paraId="7C43F868" w14:textId="7E8C1B5C" w:rsidR="0062BE46" w:rsidRDefault="0062BE46" w:rsidP="382E54E4">
      <w:pPr>
        <w:shd w:val="clear" w:color="auto" w:fill="FFFFFF" w:themeFill="background1"/>
        <w:spacing w:after="240"/>
        <w:jc w:val="both"/>
        <w:rPr>
          <w:rFonts w:eastAsiaTheme="minorEastAsia"/>
          <w:color w:val="242424"/>
          <w:sz w:val="22"/>
          <w:szCs w:val="22"/>
        </w:rPr>
      </w:pPr>
      <w:r w:rsidRPr="382E54E4">
        <w:rPr>
          <w:rFonts w:eastAsiaTheme="minorEastAsia"/>
          <w:color w:val="242424"/>
          <w:sz w:val="22"/>
          <w:szCs w:val="22"/>
        </w:rPr>
        <w:t>Proceso: El instrumento fue diseñado por un equipo multidisciplinar compuesto por enfermera, matrona, médico familiar y psicólogo.</w:t>
      </w:r>
      <w:r w:rsidR="5903DE91" w:rsidRPr="382E54E4">
        <w:rPr>
          <w:rFonts w:eastAsiaTheme="minorEastAsia"/>
          <w:color w:val="242424"/>
          <w:sz w:val="22"/>
          <w:szCs w:val="22"/>
        </w:rPr>
        <w:t xml:space="preserve"> Se realizó una prueba de pilotaje con 30 estudiantes de la Universidad de Sevilla</w:t>
      </w:r>
      <w:r w:rsidR="44666840" w:rsidRPr="382E54E4">
        <w:rPr>
          <w:rFonts w:eastAsiaTheme="minorEastAsia"/>
          <w:color w:val="242424"/>
          <w:sz w:val="22"/>
          <w:szCs w:val="22"/>
        </w:rPr>
        <w:t>.</w:t>
      </w:r>
    </w:p>
    <w:p w14:paraId="4B90F46C" w14:textId="3D51F8CE" w:rsidR="31FAD6CD" w:rsidRDefault="31FAD6CD" w:rsidP="382E54E4">
      <w:pPr>
        <w:shd w:val="clear" w:color="auto" w:fill="FFFFFF" w:themeFill="background1"/>
        <w:spacing w:after="240"/>
        <w:jc w:val="both"/>
        <w:rPr>
          <w:rFonts w:eastAsiaTheme="minorEastAsia"/>
          <w:color w:val="242424"/>
          <w:sz w:val="22"/>
          <w:szCs w:val="22"/>
        </w:rPr>
      </w:pPr>
      <w:r w:rsidRPr="382E54E4">
        <w:rPr>
          <w:rFonts w:eastAsiaTheme="minorEastAsia"/>
          <w:color w:val="242424"/>
          <w:sz w:val="22"/>
          <w:szCs w:val="22"/>
        </w:rPr>
        <w:t xml:space="preserve">Análisis Estadístico: Se analizaron los distintos </w:t>
      </w:r>
      <w:r w:rsidR="453BF124" w:rsidRPr="382E54E4">
        <w:rPr>
          <w:rFonts w:eastAsiaTheme="minorEastAsia"/>
          <w:color w:val="242424"/>
          <w:sz w:val="22"/>
          <w:szCs w:val="22"/>
        </w:rPr>
        <w:t>ítems</w:t>
      </w:r>
      <w:r w:rsidRPr="382E54E4">
        <w:rPr>
          <w:rFonts w:eastAsiaTheme="minorEastAsia"/>
          <w:color w:val="242424"/>
          <w:sz w:val="22"/>
          <w:szCs w:val="22"/>
        </w:rPr>
        <w:t xml:space="preserve"> sobre los niveles de conocimiento acerca de </w:t>
      </w:r>
      <w:r w:rsidR="498547A8" w:rsidRPr="382E54E4">
        <w:rPr>
          <w:rFonts w:eastAsiaTheme="minorEastAsia"/>
          <w:color w:val="242424"/>
          <w:sz w:val="22"/>
          <w:szCs w:val="22"/>
        </w:rPr>
        <w:t>métodos</w:t>
      </w:r>
      <w:r w:rsidRPr="382E54E4">
        <w:rPr>
          <w:rFonts w:eastAsiaTheme="minorEastAsia"/>
          <w:color w:val="242424"/>
          <w:sz w:val="22"/>
          <w:szCs w:val="22"/>
        </w:rPr>
        <w:t xml:space="preserve"> anticon</w:t>
      </w:r>
      <w:r w:rsidR="2E9ACD48" w:rsidRPr="382E54E4">
        <w:rPr>
          <w:rFonts w:eastAsiaTheme="minorEastAsia"/>
          <w:color w:val="242424"/>
          <w:sz w:val="22"/>
          <w:szCs w:val="22"/>
        </w:rPr>
        <w:t xml:space="preserve">ceptivos </w:t>
      </w:r>
      <w:r w:rsidR="32957131" w:rsidRPr="382E54E4">
        <w:rPr>
          <w:rFonts w:eastAsiaTheme="minorEastAsia"/>
          <w:color w:val="242424"/>
          <w:sz w:val="22"/>
          <w:szCs w:val="22"/>
        </w:rPr>
        <w:t>e ITS, datos demográficos, prácticas sexuales y formación previa sobre educación sexual.</w:t>
      </w:r>
    </w:p>
    <w:p w14:paraId="4B6D57E6" w14:textId="5DFDBCCA" w:rsidR="43923C2E" w:rsidRDefault="43923C2E" w:rsidP="382E54E4">
      <w:pPr>
        <w:shd w:val="clear" w:color="auto" w:fill="FFFFFF" w:themeFill="background1"/>
        <w:spacing w:after="240"/>
        <w:rPr>
          <w:rFonts w:eastAsiaTheme="minorEastAsia"/>
          <w:b/>
          <w:bCs/>
          <w:color w:val="242424"/>
          <w:sz w:val="22"/>
          <w:szCs w:val="22"/>
        </w:rPr>
      </w:pPr>
      <w:r w:rsidRPr="382E54E4">
        <w:rPr>
          <w:rFonts w:eastAsiaTheme="minorEastAsia"/>
          <w:b/>
          <w:bCs/>
          <w:color w:val="242424"/>
          <w:sz w:val="22"/>
          <w:szCs w:val="22"/>
        </w:rPr>
        <w:t>Informe general o síntesis de lo más destacado del artículo</w:t>
      </w:r>
    </w:p>
    <w:p w14:paraId="61D9F2B9" w14:textId="4F0EE569" w:rsidR="0A2942AB" w:rsidRDefault="0A2942AB" w:rsidP="382E54E4">
      <w:pPr>
        <w:shd w:val="clear" w:color="auto" w:fill="FFFFFF" w:themeFill="background1"/>
        <w:spacing w:after="240"/>
        <w:jc w:val="both"/>
        <w:rPr>
          <w:rFonts w:eastAsiaTheme="minorEastAsia"/>
          <w:color w:val="242424"/>
          <w:sz w:val="22"/>
          <w:szCs w:val="22"/>
        </w:rPr>
      </w:pPr>
      <w:r w:rsidRPr="382E54E4">
        <w:rPr>
          <w:rFonts w:eastAsiaTheme="minorEastAsia"/>
          <w:color w:val="242424"/>
          <w:sz w:val="22"/>
          <w:szCs w:val="22"/>
        </w:rPr>
        <w:t xml:space="preserve">El texto presenta el diseño, validación y resultados de un cuestionario que busca evaluar los conocimientos sobre sexualidad responsable en jóvenes universitarios de la Universidad de Sevilla. </w:t>
      </w:r>
      <w:r w:rsidR="026FB305" w:rsidRPr="382E54E4">
        <w:rPr>
          <w:rFonts w:eastAsiaTheme="minorEastAsia"/>
          <w:color w:val="242424"/>
          <w:sz w:val="22"/>
          <w:szCs w:val="22"/>
        </w:rPr>
        <w:t xml:space="preserve">Se utilizan métodos estadísticos como correlaciones bivariadas y análisis facrorial para comprobar el cuestionario. Este cuestionario </w:t>
      </w:r>
      <w:r w:rsidR="2A34E860" w:rsidRPr="382E54E4">
        <w:rPr>
          <w:rFonts w:eastAsiaTheme="minorEastAsia"/>
          <w:color w:val="242424"/>
          <w:sz w:val="22"/>
          <w:szCs w:val="22"/>
        </w:rPr>
        <w:t xml:space="preserve">se divide en datos sociodemográficos y preguntas de conocimiento en </w:t>
      </w:r>
      <w:r w:rsidR="2EBC9D4C" w:rsidRPr="382E54E4">
        <w:rPr>
          <w:rFonts w:eastAsiaTheme="minorEastAsia"/>
          <w:color w:val="242424"/>
          <w:sz w:val="22"/>
          <w:szCs w:val="22"/>
        </w:rPr>
        <w:t>temas como:</w:t>
      </w:r>
      <w:r w:rsidR="2A34E860" w:rsidRPr="382E54E4">
        <w:rPr>
          <w:rFonts w:eastAsiaTheme="minorEastAsia"/>
          <w:color w:val="242424"/>
          <w:sz w:val="22"/>
          <w:szCs w:val="22"/>
        </w:rPr>
        <w:t xml:space="preserve"> métodos anticonceptivos</w:t>
      </w:r>
      <w:r w:rsidR="21D316EA" w:rsidRPr="382E54E4">
        <w:rPr>
          <w:rFonts w:eastAsiaTheme="minorEastAsia"/>
          <w:color w:val="242424"/>
          <w:sz w:val="22"/>
          <w:szCs w:val="22"/>
        </w:rPr>
        <w:t xml:space="preserve"> hormonales, uso de preservativos, </w:t>
      </w:r>
      <w:r w:rsidR="60232A02" w:rsidRPr="382E54E4">
        <w:rPr>
          <w:rFonts w:eastAsiaTheme="minorEastAsia"/>
          <w:color w:val="242424"/>
          <w:sz w:val="22"/>
          <w:szCs w:val="22"/>
        </w:rPr>
        <w:t>i</w:t>
      </w:r>
      <w:r w:rsidR="21D316EA" w:rsidRPr="382E54E4">
        <w:rPr>
          <w:rFonts w:eastAsiaTheme="minorEastAsia"/>
          <w:color w:val="242424"/>
          <w:sz w:val="22"/>
          <w:szCs w:val="22"/>
        </w:rPr>
        <w:t>nfe</w:t>
      </w:r>
      <w:r w:rsidR="0AFB81A4" w:rsidRPr="382E54E4">
        <w:rPr>
          <w:rFonts w:eastAsiaTheme="minorEastAsia"/>
          <w:color w:val="242424"/>
          <w:sz w:val="22"/>
          <w:szCs w:val="22"/>
        </w:rPr>
        <w:t>cciones</w:t>
      </w:r>
      <w:r w:rsidR="21D316EA" w:rsidRPr="382E54E4">
        <w:rPr>
          <w:rFonts w:eastAsiaTheme="minorEastAsia"/>
          <w:color w:val="242424"/>
          <w:sz w:val="22"/>
          <w:szCs w:val="22"/>
        </w:rPr>
        <w:t xml:space="preserve"> de transmición sexual y salud sexual. Los resultados revelaron que la mayoría de los participantes tenía conocimientos sobre </w:t>
      </w:r>
      <w:r w:rsidR="2F5C98FA" w:rsidRPr="382E54E4">
        <w:rPr>
          <w:rFonts w:eastAsiaTheme="minorEastAsia"/>
          <w:color w:val="242424"/>
          <w:sz w:val="22"/>
          <w:szCs w:val="22"/>
        </w:rPr>
        <w:t>lo anteriormente mencionado, con excepción de la percepción de frecuencia de ITS</w:t>
      </w:r>
      <w:r w:rsidR="711A452F" w:rsidRPr="382E54E4">
        <w:rPr>
          <w:rFonts w:eastAsiaTheme="minorEastAsia"/>
          <w:color w:val="242424"/>
          <w:sz w:val="22"/>
          <w:szCs w:val="22"/>
        </w:rPr>
        <w:t xml:space="preserve">. También se reveló que a pesar de tener acceso a educación sexual, las conductas riesgosas persistían, lo que sugirió que </w:t>
      </w:r>
      <w:r w:rsidR="4DF3EED2" w:rsidRPr="382E54E4">
        <w:rPr>
          <w:rFonts w:eastAsiaTheme="minorEastAsia"/>
          <w:color w:val="242424"/>
          <w:sz w:val="22"/>
          <w:szCs w:val="22"/>
        </w:rPr>
        <w:t>las actuales intervenciones educativas no estaban siendo efectivas.</w:t>
      </w:r>
    </w:p>
    <w:p w14:paraId="6B76ED63" w14:textId="2E561A10" w:rsidR="382E54E4" w:rsidRDefault="382E54E4" w:rsidP="382E54E4">
      <w:pPr>
        <w:shd w:val="clear" w:color="auto" w:fill="FFFFFF" w:themeFill="background1"/>
        <w:spacing w:after="240"/>
        <w:jc w:val="both"/>
        <w:rPr>
          <w:rFonts w:eastAsiaTheme="minorEastAsia"/>
          <w:color w:val="242424"/>
          <w:sz w:val="22"/>
          <w:szCs w:val="22"/>
        </w:rPr>
      </w:pPr>
    </w:p>
    <w:p w14:paraId="719A0D48" w14:textId="3B7F4FB3" w:rsidR="382E54E4" w:rsidRDefault="382E54E4" w:rsidP="382E54E4"/>
    <w:p w14:paraId="78F842B4" w14:textId="569DDDC8" w:rsidR="27AE9D6D" w:rsidRDefault="27AE9D6D" w:rsidP="382E54E4">
      <w:pPr>
        <w:shd w:val="clear" w:color="auto" w:fill="FFFFFF" w:themeFill="background1"/>
        <w:spacing w:after="240"/>
        <w:jc w:val="both"/>
        <w:rPr>
          <w:rFonts w:eastAsiaTheme="minorEastAsia"/>
          <w:b/>
          <w:bCs/>
          <w:color w:val="000000" w:themeColor="text1"/>
          <w:sz w:val="22"/>
          <w:szCs w:val="22"/>
        </w:rPr>
      </w:pPr>
      <w:r w:rsidRPr="382E54E4">
        <w:rPr>
          <w:rFonts w:eastAsiaTheme="minorEastAsia"/>
          <w:b/>
          <w:bCs/>
          <w:color w:val="000000" w:themeColor="text1"/>
          <w:sz w:val="22"/>
          <w:szCs w:val="22"/>
        </w:rPr>
        <w:t>Texto 2:</w:t>
      </w:r>
      <w:r w:rsidR="214DC604" w:rsidRPr="382E54E4">
        <w:rPr>
          <w:rFonts w:eastAsiaTheme="minorEastAsia"/>
          <w:b/>
          <w:bCs/>
          <w:color w:val="000000" w:themeColor="text1"/>
          <w:sz w:val="22"/>
          <w:szCs w:val="22"/>
        </w:rPr>
        <w:t xml:space="preserve"> Encuesta Nacional de Sexualidad, Salud y Género</w:t>
      </w:r>
    </w:p>
    <w:p w14:paraId="695DA146" w14:textId="79B76D4B" w:rsidR="214DC604" w:rsidRDefault="214DC604" w:rsidP="382E54E4">
      <w:pPr>
        <w:shd w:val="clear" w:color="auto" w:fill="FFFFFF" w:themeFill="background1"/>
        <w:spacing w:after="240"/>
        <w:jc w:val="both"/>
        <w:rPr>
          <w:rFonts w:eastAsiaTheme="minorEastAsia"/>
          <w:color w:val="000000" w:themeColor="text1"/>
        </w:rPr>
      </w:pPr>
      <w:r w:rsidRPr="382E54E4">
        <w:rPr>
          <w:rFonts w:eastAsiaTheme="minorEastAsia"/>
          <w:b/>
          <w:bCs/>
          <w:color w:val="000000" w:themeColor="text1"/>
          <w:sz w:val="22"/>
          <w:szCs w:val="22"/>
        </w:rPr>
        <w:t>Referencia:</w:t>
      </w:r>
      <w:r w:rsidRPr="382E54E4">
        <w:rPr>
          <w:rFonts w:eastAsiaTheme="minorEastAsia"/>
          <w:color w:val="000000" w:themeColor="text1"/>
        </w:rPr>
        <w:t xml:space="preserve"> Departamento de epidemiología. (2023). </w:t>
      </w:r>
      <w:r w:rsidRPr="382E54E4">
        <w:rPr>
          <w:rFonts w:eastAsiaTheme="minorEastAsia"/>
          <w:i/>
          <w:iCs/>
          <w:color w:val="000000" w:themeColor="text1"/>
        </w:rPr>
        <w:t>Encuesta nacional de salud, sexualidad y género. Primeros resultados</w:t>
      </w:r>
      <w:r w:rsidRPr="382E54E4">
        <w:rPr>
          <w:rFonts w:eastAsiaTheme="minorEastAsia"/>
          <w:color w:val="000000" w:themeColor="text1"/>
        </w:rPr>
        <w:t xml:space="preserve">. Ministerio de salud. </w:t>
      </w:r>
      <w:hyperlink r:id="rId14">
        <w:r w:rsidRPr="382E54E4">
          <w:rPr>
            <w:rStyle w:val="Hipervnculo"/>
            <w:rFonts w:eastAsiaTheme="minorEastAsia"/>
            <w:color w:val="000000" w:themeColor="text1"/>
          </w:rPr>
          <w:t>https://aprofaeduca.cl/wp-content/uploads/2024/02/encuesta-nacional-de-salud-sexualidad-y-genero.-Primeros-resultados.pdf</w:t>
        </w:r>
      </w:hyperlink>
    </w:p>
    <w:p w14:paraId="1E3DB6AA" w14:textId="19B451C2" w:rsidR="214DC604" w:rsidRDefault="214DC604" w:rsidP="382E54E4">
      <w:pPr>
        <w:spacing w:after="240"/>
        <w:jc w:val="both"/>
        <w:rPr>
          <w:rFonts w:eastAsiaTheme="minorEastAsia"/>
          <w:b/>
          <w:bCs/>
          <w:color w:val="242424"/>
          <w:sz w:val="22"/>
          <w:szCs w:val="22"/>
        </w:rPr>
      </w:pPr>
      <w:r w:rsidRPr="382E54E4">
        <w:rPr>
          <w:rFonts w:eastAsiaTheme="minorEastAsia"/>
          <w:b/>
          <w:bCs/>
          <w:color w:val="242424"/>
          <w:sz w:val="22"/>
          <w:szCs w:val="22"/>
        </w:rPr>
        <w:t>Cita de autores</w:t>
      </w:r>
    </w:p>
    <w:p w14:paraId="540CC878" w14:textId="5503E6AF" w:rsidR="6E99C943" w:rsidRDefault="6E99C943" w:rsidP="382E54E4">
      <w:pPr>
        <w:spacing w:after="240"/>
        <w:jc w:val="both"/>
        <w:rPr>
          <w:rFonts w:ascii="Aptos" w:eastAsia="Aptos" w:hAnsi="Aptos" w:cs="Aptos"/>
          <w:i/>
          <w:iCs/>
          <w:sz w:val="22"/>
          <w:szCs w:val="22"/>
        </w:rPr>
      </w:pPr>
      <w:r w:rsidRPr="382E54E4">
        <w:rPr>
          <w:rFonts w:ascii="Aptos" w:eastAsia="Aptos" w:hAnsi="Aptos" w:cs="Aptos"/>
          <w:i/>
          <w:iCs/>
          <w:sz w:val="22"/>
          <w:szCs w:val="22"/>
        </w:rPr>
        <w:t xml:space="preserve">“El total de la población tiene una mala valoración de la educación sexual recibida en los colegios o escuelas, esta percepción es más baja en los grupos más jóvenes” </w:t>
      </w:r>
      <w:r w:rsidRPr="382E54E4">
        <w:rPr>
          <w:rFonts w:ascii="Aptos" w:eastAsia="Aptos" w:hAnsi="Aptos" w:cs="Aptos"/>
          <w:sz w:val="22"/>
          <w:szCs w:val="22"/>
        </w:rPr>
        <w:t>(</w:t>
      </w:r>
      <w:r w:rsidR="08CCA3B6" w:rsidRPr="382E54E4">
        <w:rPr>
          <w:rFonts w:ascii="Aptos" w:eastAsia="Aptos" w:hAnsi="Aptos" w:cs="Aptos"/>
          <w:sz w:val="22"/>
          <w:szCs w:val="22"/>
        </w:rPr>
        <w:t>2023, p. 35)</w:t>
      </w:r>
    </w:p>
    <w:p w14:paraId="47E1A918" w14:textId="1901157B" w:rsidR="6E99C943" w:rsidRDefault="6E99C943" w:rsidP="382E54E4">
      <w:pPr>
        <w:spacing w:after="240"/>
        <w:jc w:val="both"/>
        <w:rPr>
          <w:rFonts w:ascii="Aptos" w:eastAsia="Aptos" w:hAnsi="Aptos" w:cs="Aptos"/>
          <w:sz w:val="22"/>
          <w:szCs w:val="22"/>
        </w:rPr>
      </w:pPr>
      <w:r w:rsidRPr="382E54E4">
        <w:rPr>
          <w:rFonts w:ascii="Aptos" w:eastAsia="Aptos" w:hAnsi="Aptos" w:cs="Aptos"/>
          <w:i/>
          <w:iCs/>
          <w:sz w:val="22"/>
          <w:szCs w:val="22"/>
        </w:rPr>
        <w:t>“Gran parte de la población en su primera relación sexual no conversó sobre cómo evitar una infección de transmisión sexual”</w:t>
      </w:r>
      <w:r w:rsidR="3B26D0BA" w:rsidRPr="382E54E4">
        <w:rPr>
          <w:rFonts w:ascii="Aptos" w:eastAsia="Aptos" w:hAnsi="Aptos" w:cs="Aptos"/>
          <w:i/>
          <w:iCs/>
          <w:sz w:val="22"/>
          <w:szCs w:val="22"/>
        </w:rPr>
        <w:t xml:space="preserve"> </w:t>
      </w:r>
      <w:r w:rsidR="3B26D0BA" w:rsidRPr="382E54E4">
        <w:rPr>
          <w:rFonts w:ascii="Aptos" w:eastAsia="Aptos" w:hAnsi="Aptos" w:cs="Aptos"/>
          <w:sz w:val="22"/>
          <w:szCs w:val="22"/>
        </w:rPr>
        <w:t>(2023, p.35)</w:t>
      </w:r>
    </w:p>
    <w:p w14:paraId="4DA7CD7F" w14:textId="68B32BE7" w:rsidR="7C1494D3" w:rsidRDefault="7C1494D3" w:rsidP="382E54E4">
      <w:pPr>
        <w:shd w:val="clear" w:color="auto" w:fill="FFFFFF" w:themeFill="background1"/>
        <w:spacing w:after="240"/>
        <w:rPr>
          <w:rFonts w:eastAsiaTheme="minorEastAsia"/>
          <w:b/>
          <w:bCs/>
          <w:color w:val="242424"/>
          <w:sz w:val="22"/>
          <w:szCs w:val="22"/>
        </w:rPr>
      </w:pPr>
      <w:r w:rsidRPr="382E54E4">
        <w:rPr>
          <w:rFonts w:eastAsiaTheme="minorEastAsia"/>
          <w:b/>
          <w:bCs/>
          <w:color w:val="242424"/>
          <w:sz w:val="22"/>
          <w:szCs w:val="22"/>
        </w:rPr>
        <w:t xml:space="preserve">Definición de conceptos </w:t>
      </w:r>
      <w:commentRangeStart w:id="1"/>
      <w:r w:rsidRPr="382E54E4">
        <w:rPr>
          <w:rFonts w:eastAsiaTheme="minorEastAsia"/>
          <w:b/>
          <w:bCs/>
          <w:color w:val="242424"/>
          <w:sz w:val="22"/>
          <w:szCs w:val="22"/>
        </w:rPr>
        <w:t>principales</w:t>
      </w:r>
      <w:commentRangeEnd w:id="1"/>
      <w:r w:rsidR="00F70B61">
        <w:rPr>
          <w:rStyle w:val="Refdecomentario"/>
        </w:rPr>
        <w:commentReference w:id="1"/>
      </w:r>
    </w:p>
    <w:p w14:paraId="28258FD6" w14:textId="18BC9C01" w:rsidR="472BD1AF" w:rsidRDefault="472BD1AF" w:rsidP="382E54E4">
      <w:pPr>
        <w:shd w:val="clear" w:color="auto" w:fill="FFFFFF" w:themeFill="background1"/>
        <w:spacing w:after="240"/>
        <w:jc w:val="both"/>
        <w:rPr>
          <w:rFonts w:ascii="Aptos" w:eastAsia="Aptos" w:hAnsi="Aptos" w:cs="Aptos"/>
          <w:sz w:val="22"/>
          <w:szCs w:val="22"/>
        </w:rPr>
      </w:pPr>
      <w:r w:rsidRPr="382E54E4">
        <w:rPr>
          <w:rFonts w:eastAsiaTheme="minorEastAsia"/>
          <w:color w:val="242424"/>
          <w:sz w:val="22"/>
          <w:szCs w:val="22"/>
        </w:rPr>
        <w:t xml:space="preserve">Epidemiología: </w:t>
      </w:r>
      <w:r w:rsidR="39B340A7" w:rsidRPr="382E54E4">
        <w:rPr>
          <w:rFonts w:eastAsiaTheme="minorEastAsia"/>
          <w:color w:val="242424"/>
          <w:sz w:val="22"/>
          <w:szCs w:val="22"/>
        </w:rPr>
        <w:t>E</w:t>
      </w:r>
      <w:r w:rsidRPr="382E54E4">
        <w:rPr>
          <w:rFonts w:ascii="Aptos" w:eastAsia="Aptos" w:hAnsi="Aptos" w:cs="Aptos"/>
          <w:sz w:val="22"/>
          <w:szCs w:val="22"/>
        </w:rPr>
        <w:t>s la disciplina científica que estudia la distribución, frecuencia y determinantes de las enfermedades, condiciones de salud y eventos relacionados en poblaciones específicas. Su objetivo es identificar patrones, causas y efectos de las enfermedades para prevenir su aparición, controlar su propagación y mejorar la salud pública.</w:t>
      </w:r>
    </w:p>
    <w:p w14:paraId="48B3297F" w14:textId="791E374D" w:rsidR="4F63AA19" w:rsidRDefault="4F63AA19" w:rsidP="382E54E4">
      <w:pPr>
        <w:shd w:val="clear" w:color="auto" w:fill="FFFFFF" w:themeFill="background1"/>
        <w:spacing w:after="240"/>
        <w:jc w:val="both"/>
        <w:rPr>
          <w:rFonts w:ascii="Aptos" w:eastAsia="Aptos" w:hAnsi="Aptos" w:cs="Aptos"/>
          <w:sz w:val="22"/>
          <w:szCs w:val="22"/>
        </w:rPr>
      </w:pPr>
      <w:r w:rsidRPr="382E54E4">
        <w:rPr>
          <w:rFonts w:ascii="Aptos" w:eastAsia="Aptos" w:hAnsi="Aptos" w:cs="Aptos"/>
          <w:sz w:val="22"/>
          <w:szCs w:val="22"/>
        </w:rPr>
        <w:t xml:space="preserve">Homosexualidad: </w:t>
      </w:r>
      <w:r w:rsidR="5B10C426" w:rsidRPr="382E54E4">
        <w:rPr>
          <w:rFonts w:ascii="Aptos" w:eastAsia="Aptos" w:hAnsi="Aptos" w:cs="Aptos"/>
          <w:sz w:val="22"/>
          <w:szCs w:val="22"/>
        </w:rPr>
        <w:t>E</w:t>
      </w:r>
      <w:r w:rsidRPr="382E54E4">
        <w:rPr>
          <w:rFonts w:ascii="Aptos" w:eastAsia="Aptos" w:hAnsi="Aptos" w:cs="Aptos"/>
          <w:sz w:val="22"/>
          <w:szCs w:val="22"/>
        </w:rPr>
        <w:t>s una orientación sexual en la que una persona siente atracción emocional, afectiva y/o sexual hacia personas de su mismo género. Este término se aplica tanto a hombres que se sienten atraídos por otros hombres (gays) como a mujeres que se sienten atraídas por otras mujeres (lesbianas).</w:t>
      </w:r>
    </w:p>
    <w:p w14:paraId="3F24ECBC" w14:textId="384BDD2B" w:rsidR="4F63AA19" w:rsidRDefault="4F63AA19" w:rsidP="382E54E4">
      <w:pPr>
        <w:spacing w:before="240" w:after="240"/>
        <w:jc w:val="both"/>
        <w:rPr>
          <w:rFonts w:ascii="Aptos" w:eastAsia="Aptos" w:hAnsi="Aptos" w:cs="Aptos"/>
          <w:sz w:val="22"/>
          <w:szCs w:val="22"/>
        </w:rPr>
      </w:pPr>
      <w:r w:rsidRPr="382E54E4">
        <w:rPr>
          <w:rFonts w:ascii="Aptos" w:eastAsia="Aptos" w:hAnsi="Aptos" w:cs="Aptos"/>
          <w:sz w:val="22"/>
          <w:szCs w:val="22"/>
        </w:rPr>
        <w:t xml:space="preserve">Acoso sexual: </w:t>
      </w:r>
      <w:r w:rsidR="3125643E" w:rsidRPr="382E54E4">
        <w:rPr>
          <w:rFonts w:ascii="Aptos" w:eastAsia="Aptos" w:hAnsi="Aptos" w:cs="Aptos"/>
          <w:sz w:val="22"/>
          <w:szCs w:val="22"/>
        </w:rPr>
        <w:t>Es una forma de violencia y comportamiento no deseado de naturaleza sexual que tiene como objetivo intimidar, humillar, o controlar a la persona que lo recibe. Puede manifestarse en diversos contextos, como el trabajo, la escuela, espacios públicos, o entornos familiares, y puede ser cometido por cualquier persona, sin importar su relación con la víctima.</w:t>
      </w:r>
    </w:p>
    <w:p w14:paraId="39A9BA27" w14:textId="7A3F4155" w:rsidR="7C1494D3" w:rsidRDefault="7C1494D3" w:rsidP="382E54E4">
      <w:pPr>
        <w:shd w:val="clear" w:color="auto" w:fill="FFFFFF" w:themeFill="background1"/>
        <w:spacing w:after="240"/>
        <w:rPr>
          <w:rFonts w:eastAsiaTheme="minorEastAsia"/>
          <w:b/>
          <w:bCs/>
          <w:color w:val="242424"/>
          <w:sz w:val="22"/>
          <w:szCs w:val="22"/>
        </w:rPr>
      </w:pPr>
      <w:r w:rsidRPr="382E54E4">
        <w:rPr>
          <w:rFonts w:eastAsiaTheme="minorEastAsia"/>
          <w:b/>
          <w:bCs/>
          <w:color w:val="242424"/>
          <w:sz w:val="22"/>
          <w:szCs w:val="22"/>
        </w:rPr>
        <w:t>Forma de operacionalización</w:t>
      </w:r>
    </w:p>
    <w:p w14:paraId="0F05B546" w14:textId="14A59C6D" w:rsidR="258DA9EA" w:rsidRDefault="258DA9EA" w:rsidP="382E54E4">
      <w:pPr>
        <w:shd w:val="clear" w:color="auto" w:fill="FFFFFF" w:themeFill="background1"/>
        <w:spacing w:after="240"/>
        <w:rPr>
          <w:rFonts w:eastAsiaTheme="minorEastAsia"/>
          <w:color w:val="242424"/>
          <w:sz w:val="22"/>
          <w:szCs w:val="22"/>
        </w:rPr>
      </w:pPr>
      <w:r w:rsidRPr="382E54E4">
        <w:rPr>
          <w:rFonts w:eastAsiaTheme="minorEastAsia"/>
          <w:color w:val="242424"/>
          <w:sz w:val="22"/>
          <w:szCs w:val="22"/>
        </w:rPr>
        <w:t>No se presenta una operacionalización</w:t>
      </w:r>
    </w:p>
    <w:p w14:paraId="0700B744" w14:textId="16B735C7" w:rsidR="7C1494D3" w:rsidRDefault="7C1494D3" w:rsidP="382E54E4">
      <w:pPr>
        <w:shd w:val="clear" w:color="auto" w:fill="FFFFFF" w:themeFill="background1"/>
        <w:spacing w:after="240"/>
        <w:rPr>
          <w:rFonts w:eastAsiaTheme="minorEastAsia"/>
          <w:b/>
          <w:bCs/>
          <w:color w:val="242424"/>
          <w:sz w:val="22"/>
          <w:szCs w:val="22"/>
        </w:rPr>
      </w:pPr>
      <w:r w:rsidRPr="382E54E4">
        <w:rPr>
          <w:rFonts w:eastAsiaTheme="minorEastAsia"/>
          <w:b/>
          <w:bCs/>
          <w:color w:val="242424"/>
          <w:sz w:val="22"/>
          <w:szCs w:val="22"/>
        </w:rPr>
        <w:t>Metodología</w:t>
      </w:r>
    </w:p>
    <w:p w14:paraId="03487196" w14:textId="1DF6ABEE" w:rsidR="662A4E1F" w:rsidRDefault="662A4E1F" w:rsidP="382E54E4">
      <w:pPr>
        <w:spacing w:before="240" w:after="240"/>
        <w:jc w:val="both"/>
        <w:rPr>
          <w:rFonts w:ascii="Aptos" w:eastAsia="Aptos" w:hAnsi="Aptos" w:cs="Aptos"/>
          <w:sz w:val="22"/>
          <w:szCs w:val="22"/>
        </w:rPr>
      </w:pPr>
      <w:r w:rsidRPr="382E54E4">
        <w:rPr>
          <w:rFonts w:ascii="Aptos" w:eastAsia="Aptos" w:hAnsi="Aptos" w:cs="Aptos"/>
          <w:sz w:val="22"/>
          <w:szCs w:val="22"/>
        </w:rPr>
        <w:t>Organismo Responsable: Departamento de Epidemiología, Subsecretaría de Salud Pública, Ministerio de Salud.</w:t>
      </w:r>
    </w:p>
    <w:p w14:paraId="7BF5DC5C" w14:textId="00F204AA" w:rsidR="662A4E1F" w:rsidRDefault="662A4E1F" w:rsidP="382E54E4">
      <w:pPr>
        <w:spacing w:before="240" w:after="240"/>
        <w:jc w:val="both"/>
        <w:rPr>
          <w:rFonts w:ascii="Aptos" w:eastAsia="Aptos" w:hAnsi="Aptos" w:cs="Aptos"/>
          <w:sz w:val="22"/>
          <w:szCs w:val="22"/>
        </w:rPr>
      </w:pPr>
      <w:r w:rsidRPr="382E54E4">
        <w:rPr>
          <w:rFonts w:ascii="Aptos" w:eastAsia="Aptos" w:hAnsi="Aptos" w:cs="Aptos"/>
          <w:sz w:val="22"/>
          <w:szCs w:val="22"/>
        </w:rPr>
        <w:t>Organismo en Terreno: Dirección de Estudios Sociales (DESUC), Instituto de Sociología, Pontificia Universidad Católica de Chile. Licitación pública.</w:t>
      </w:r>
    </w:p>
    <w:p w14:paraId="70C6433E" w14:textId="20A65FFE" w:rsidR="662A4E1F" w:rsidRDefault="662A4E1F" w:rsidP="382E54E4">
      <w:pPr>
        <w:spacing w:before="240" w:after="240"/>
        <w:jc w:val="both"/>
        <w:rPr>
          <w:rFonts w:ascii="Aptos" w:eastAsia="Aptos" w:hAnsi="Aptos" w:cs="Aptos"/>
          <w:sz w:val="22"/>
          <w:szCs w:val="22"/>
        </w:rPr>
      </w:pPr>
      <w:r w:rsidRPr="382E54E4">
        <w:rPr>
          <w:rFonts w:ascii="Aptos" w:eastAsia="Aptos" w:hAnsi="Aptos" w:cs="Aptos"/>
          <w:sz w:val="22"/>
          <w:szCs w:val="22"/>
        </w:rPr>
        <w:lastRenderedPageBreak/>
        <w:t>Población Objetivo: Personas de 18 años y más, chilenas o extranjeras, que residan habitualmente en viviendas particulares ocupadas (mínimo de 6 meses) en zonas urbanas de las 16 regiones de Chile.</w:t>
      </w:r>
      <w:r w:rsidR="6A2074B1" w:rsidRPr="382E54E4">
        <w:rPr>
          <w:rFonts w:ascii="Aptos" w:eastAsia="Aptos" w:hAnsi="Aptos" w:cs="Aptos"/>
          <w:sz w:val="22"/>
          <w:szCs w:val="22"/>
        </w:rPr>
        <w:t xml:space="preserve"> La muestra fue de 20.392 personas, con una selección de 40.000 viviendas para asegurar una muestra adecuada.</w:t>
      </w:r>
    </w:p>
    <w:p w14:paraId="2BBFC3EF" w14:textId="013A3599" w:rsidR="662A4E1F" w:rsidRDefault="662A4E1F" w:rsidP="382E54E4">
      <w:pPr>
        <w:spacing w:before="240" w:after="240"/>
        <w:jc w:val="both"/>
        <w:rPr>
          <w:rFonts w:ascii="Aptos" w:eastAsia="Aptos" w:hAnsi="Aptos" w:cs="Aptos"/>
          <w:sz w:val="22"/>
          <w:szCs w:val="22"/>
        </w:rPr>
      </w:pPr>
      <w:r w:rsidRPr="382E54E4">
        <w:rPr>
          <w:rFonts w:ascii="Aptos" w:eastAsia="Aptos" w:hAnsi="Aptos" w:cs="Aptos"/>
          <w:sz w:val="22"/>
          <w:szCs w:val="22"/>
        </w:rPr>
        <w:t>Objetivo de la Encuesta: Recolectar información sobre las características de salud, sexualidad y género de la población de 18 años y más, residente en Chile, con representatividad a nivel nacional, regional, por tramos de edad y sexo, con el fin de generar evidencia científica para el diseño, implementación y evaluación de políticas públicas relacionadas.</w:t>
      </w:r>
    </w:p>
    <w:p w14:paraId="7F770A63" w14:textId="62F7D591" w:rsidR="7340625E" w:rsidRDefault="7340625E" w:rsidP="382E54E4">
      <w:pPr>
        <w:spacing w:before="240" w:after="240"/>
        <w:jc w:val="both"/>
        <w:rPr>
          <w:rFonts w:ascii="Aptos" w:eastAsia="Aptos" w:hAnsi="Aptos" w:cs="Aptos"/>
          <w:sz w:val="22"/>
          <w:szCs w:val="22"/>
        </w:rPr>
      </w:pPr>
      <w:r w:rsidRPr="382E54E4">
        <w:rPr>
          <w:rFonts w:ascii="Aptos" w:eastAsia="Aptos" w:hAnsi="Aptos" w:cs="Aptos"/>
          <w:sz w:val="22"/>
          <w:szCs w:val="22"/>
        </w:rPr>
        <w:t>CUESTIONARIO: El cuestionario contó con 305 preguntas, con una duración promedio de 45 minutos por entrevista. Las entrevistas se realizaron en las viviendas de las personas en</w:t>
      </w:r>
      <w:r w:rsidR="27464314" w:rsidRPr="382E54E4">
        <w:rPr>
          <w:rFonts w:ascii="Aptos" w:eastAsia="Aptos" w:hAnsi="Aptos" w:cs="Aptos"/>
          <w:sz w:val="22"/>
          <w:szCs w:val="22"/>
        </w:rPr>
        <w:t xml:space="preserve"> el periodo de agosto a diciembre de 2022</w:t>
      </w:r>
    </w:p>
    <w:p w14:paraId="59FF08ED" w14:textId="5DFDBCCA" w:rsidR="7C1494D3" w:rsidRDefault="7C1494D3" w:rsidP="382E54E4">
      <w:pPr>
        <w:shd w:val="clear" w:color="auto" w:fill="FFFFFF" w:themeFill="background1"/>
        <w:spacing w:after="240"/>
        <w:rPr>
          <w:rFonts w:eastAsiaTheme="minorEastAsia"/>
          <w:b/>
          <w:bCs/>
          <w:color w:val="242424"/>
          <w:sz w:val="22"/>
          <w:szCs w:val="22"/>
        </w:rPr>
      </w:pPr>
      <w:r w:rsidRPr="382E54E4">
        <w:rPr>
          <w:rFonts w:eastAsiaTheme="minorEastAsia"/>
          <w:b/>
          <w:bCs/>
          <w:color w:val="242424"/>
          <w:sz w:val="22"/>
          <w:szCs w:val="22"/>
        </w:rPr>
        <w:t>Informe general o síntesis de lo más destacado del artículo</w:t>
      </w:r>
    </w:p>
    <w:p w14:paraId="2A74BCBD" w14:textId="2D3AA8C5" w:rsidR="671157B0" w:rsidRDefault="671157B0" w:rsidP="382E54E4">
      <w:pPr>
        <w:shd w:val="clear" w:color="auto" w:fill="FFFFFF" w:themeFill="background1"/>
        <w:spacing w:after="240"/>
        <w:jc w:val="both"/>
        <w:rPr>
          <w:rFonts w:eastAsiaTheme="minorEastAsia"/>
          <w:color w:val="000000" w:themeColor="text1"/>
        </w:rPr>
      </w:pPr>
      <w:r w:rsidRPr="382E54E4">
        <w:rPr>
          <w:rFonts w:eastAsiaTheme="minorEastAsia"/>
          <w:color w:val="000000" w:themeColor="text1"/>
        </w:rPr>
        <w:t>La Encuesta Nacional de Salud, Sexualidad y Género (ENSSEX) 2022-2023 en Chile busca conocer las características de salud, sexualidad y género de la población mayor de 18 años. Los resultados muestran cambios significativos en la percepción de la homosexualidad y la identidad de género desde 1998, así como una tendencia a la baja en la edad de inicio sexual.</w:t>
      </w:r>
      <w:r w:rsidR="394ABD34" w:rsidRPr="382E54E4">
        <w:rPr>
          <w:rFonts w:eastAsiaTheme="minorEastAsia"/>
          <w:color w:val="000000" w:themeColor="text1"/>
        </w:rPr>
        <w:t xml:space="preserve"> El informe del Departamento de Epidemiología presenta datos sobre educación sexual, uso de anticonceptivos, calidad de vida, y prevalencia de acoso y abuso sexual. </w:t>
      </w:r>
    </w:p>
    <w:p w14:paraId="744078FB" w14:textId="65CB7A27" w:rsidR="394ABD34" w:rsidRDefault="394ABD34" w:rsidP="382E54E4">
      <w:pPr>
        <w:shd w:val="clear" w:color="auto" w:fill="FFFFFF" w:themeFill="background1"/>
        <w:spacing w:after="240"/>
        <w:jc w:val="both"/>
        <w:rPr>
          <w:rFonts w:eastAsiaTheme="minorEastAsia"/>
          <w:color w:val="000000" w:themeColor="text1"/>
        </w:rPr>
      </w:pPr>
      <w:r w:rsidRPr="382E54E4">
        <w:rPr>
          <w:rFonts w:eastAsiaTheme="minorEastAsia"/>
          <w:color w:val="000000" w:themeColor="text1"/>
        </w:rPr>
        <w:t xml:space="preserve">El texto presenta hallazgos sobre la sexualidad y la salud mental en la población chilena, especialmente entre jóvenes y diversidad sexo-genérica. Se destaca que hay poca conversación sobre temas sexuales en las familias, que dos tercios de los jóvenes de 18 a 29 años usaron métodos anticonceptivos en su primera relación sexual, y que la población de diversidad sexo-genérica muestra peores indicadores de depresión y ansiedad. </w:t>
      </w:r>
    </w:p>
    <w:p w14:paraId="3E602E51" w14:textId="31EEF4CD" w:rsidR="382E54E4" w:rsidRDefault="382E54E4" w:rsidP="382E54E4">
      <w:pPr>
        <w:shd w:val="clear" w:color="auto" w:fill="FFFFFF" w:themeFill="background1"/>
        <w:spacing w:after="240"/>
        <w:jc w:val="both"/>
        <w:rPr>
          <w:rFonts w:ascii="Arial" w:eastAsia="Arial" w:hAnsi="Arial" w:cs="Arial"/>
          <w:color w:val="1155CC"/>
        </w:rPr>
      </w:pPr>
    </w:p>
    <w:sectPr w:rsidR="382E54E4">
      <w:headerReference w:type="default" r:id="rId15"/>
      <w:footerReference w:type="default" r:id="rId16"/>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0-28T16:20:00Z" w:initials="SM">
    <w:p w14:paraId="4D17E449" w14:textId="42152CE5" w:rsidR="002033C2" w:rsidRDefault="002033C2">
      <w:pPr>
        <w:pStyle w:val="Textocomentario"/>
      </w:pPr>
      <w:r>
        <w:rPr>
          <w:rStyle w:val="Refdecomentario"/>
        </w:rPr>
        <w:annotationRef/>
      </w:r>
      <w:r>
        <w:t>0,7, de 1.</w:t>
      </w:r>
    </w:p>
  </w:comment>
  <w:comment w:id="1" w:author="Sebastián Matías Muñoz Tapia" w:date="2024-10-28T16:12:00Z" w:initials="SM">
    <w:p w14:paraId="5AD100B2" w14:textId="77777777" w:rsidR="00F70B61" w:rsidRDefault="00F70B61">
      <w:pPr>
        <w:pStyle w:val="Textocomentario"/>
      </w:pPr>
      <w:r>
        <w:rPr>
          <w:rStyle w:val="Refdecomentario"/>
        </w:rPr>
        <w:annotationRef/>
      </w:r>
    </w:p>
    <w:p w14:paraId="664CE2A6" w14:textId="4881B7CD" w:rsidR="00F70B61" w:rsidRDefault="00F70B61">
      <w:pPr>
        <w:pStyle w:val="Textocomentario"/>
      </w:pPr>
      <w:r>
        <w:t xml:space="preserve">La definición de los conceptos, parece no referir a dimensiones problemáticas más generales que guiarían la investigación. Son manera más específicas y por ello se recomienda la utilización de conceptos que permitan adentrarse a su problema. Por ejemplo, en vez de homosexualidad, podría intentar encontrar conceptos como identidades sexuales o grupos de riesgo. Con ello alcanza un nivel de abstracción más amplio lo cual le ayudaría a la formulación de sus propios conceptos, dimensiones y subdimnesiones.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D17E449" w15:done="0"/>
  <w15:commentEx w15:paraId="664CE2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C90CA99" w16cex:dateUtc="2024-10-28T19:20:00Z"/>
  <w16cex:commentExtensible w16cex:durableId="595AF493" w16cex:dateUtc="2024-10-28T1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D17E449" w16cid:durableId="6C90CA99"/>
  <w16cid:commentId w16cid:paraId="664CE2A6" w16cid:durableId="595AF4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03C14D" w14:textId="77777777" w:rsidR="00D53435" w:rsidRDefault="00D53435">
      <w:pPr>
        <w:spacing w:after="0" w:line="240" w:lineRule="auto"/>
      </w:pPr>
      <w:r>
        <w:separator/>
      </w:r>
    </w:p>
  </w:endnote>
  <w:endnote w:type="continuationSeparator" w:id="0">
    <w:p w14:paraId="0AACC9E2" w14:textId="77777777" w:rsidR="00D53435" w:rsidRDefault="00D53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82E54E4" w14:paraId="1E3941E7" w14:textId="77777777" w:rsidTr="382E54E4">
      <w:trPr>
        <w:trHeight w:val="300"/>
      </w:trPr>
      <w:tc>
        <w:tcPr>
          <w:tcW w:w="3005" w:type="dxa"/>
        </w:tcPr>
        <w:p w14:paraId="618BEF22" w14:textId="7FD19100" w:rsidR="382E54E4" w:rsidRDefault="382E54E4" w:rsidP="382E54E4">
          <w:pPr>
            <w:pStyle w:val="Encabezado"/>
            <w:ind w:left="-115"/>
          </w:pPr>
        </w:p>
      </w:tc>
      <w:tc>
        <w:tcPr>
          <w:tcW w:w="3005" w:type="dxa"/>
        </w:tcPr>
        <w:p w14:paraId="0FC03FE4" w14:textId="068DCA17" w:rsidR="382E54E4" w:rsidRDefault="382E54E4" w:rsidP="382E54E4">
          <w:pPr>
            <w:pStyle w:val="Encabezado"/>
            <w:jc w:val="center"/>
          </w:pPr>
        </w:p>
      </w:tc>
      <w:tc>
        <w:tcPr>
          <w:tcW w:w="3005" w:type="dxa"/>
        </w:tcPr>
        <w:p w14:paraId="4196D5EF" w14:textId="5754674D" w:rsidR="382E54E4" w:rsidRDefault="382E54E4" w:rsidP="382E54E4">
          <w:pPr>
            <w:pStyle w:val="Encabezado"/>
            <w:ind w:right="-115"/>
            <w:jc w:val="right"/>
          </w:pPr>
        </w:p>
      </w:tc>
    </w:tr>
  </w:tbl>
  <w:p w14:paraId="6023DF79" w14:textId="16F7FFFB" w:rsidR="382E54E4" w:rsidRDefault="382E54E4" w:rsidP="382E54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456E59" w14:textId="77777777" w:rsidR="00D53435" w:rsidRDefault="00D53435">
      <w:pPr>
        <w:spacing w:after="0" w:line="240" w:lineRule="auto"/>
      </w:pPr>
      <w:r>
        <w:separator/>
      </w:r>
    </w:p>
  </w:footnote>
  <w:footnote w:type="continuationSeparator" w:id="0">
    <w:p w14:paraId="0128B1EA" w14:textId="77777777" w:rsidR="00D53435" w:rsidRDefault="00D53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82E54E4" w14:paraId="00C1B6B9" w14:textId="77777777" w:rsidTr="382E54E4">
      <w:trPr>
        <w:trHeight w:val="300"/>
      </w:trPr>
      <w:tc>
        <w:tcPr>
          <w:tcW w:w="3005" w:type="dxa"/>
        </w:tcPr>
        <w:p w14:paraId="593EB9D8" w14:textId="1F395675" w:rsidR="382E54E4" w:rsidRDefault="382E54E4" w:rsidP="382E54E4">
          <w:pPr>
            <w:pStyle w:val="Encabezado"/>
            <w:ind w:left="-115"/>
          </w:pPr>
        </w:p>
      </w:tc>
      <w:tc>
        <w:tcPr>
          <w:tcW w:w="3005" w:type="dxa"/>
        </w:tcPr>
        <w:p w14:paraId="69D881E1" w14:textId="7541CB35" w:rsidR="382E54E4" w:rsidRDefault="382E54E4" w:rsidP="382E54E4">
          <w:pPr>
            <w:pStyle w:val="Encabezado"/>
            <w:jc w:val="center"/>
          </w:pPr>
        </w:p>
      </w:tc>
      <w:tc>
        <w:tcPr>
          <w:tcW w:w="3005" w:type="dxa"/>
        </w:tcPr>
        <w:p w14:paraId="10D1537B" w14:textId="64BEC859" w:rsidR="382E54E4" w:rsidRDefault="382E54E4" w:rsidP="382E54E4">
          <w:pPr>
            <w:pStyle w:val="Encabezado"/>
            <w:ind w:right="-115"/>
            <w:jc w:val="right"/>
          </w:pPr>
        </w:p>
      </w:tc>
    </w:tr>
  </w:tbl>
  <w:p w14:paraId="297C9E82" w14:textId="031A9D4E" w:rsidR="382E54E4" w:rsidRDefault="382E54E4" w:rsidP="382E54E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493D7"/>
    <w:multiLevelType w:val="hybridMultilevel"/>
    <w:tmpl w:val="49BE52B0"/>
    <w:lvl w:ilvl="0" w:tplc="9C7606B8">
      <w:start w:val="1"/>
      <w:numFmt w:val="decimal"/>
      <w:lvlText w:val="%1."/>
      <w:lvlJc w:val="left"/>
      <w:pPr>
        <w:ind w:left="720" w:hanging="360"/>
      </w:pPr>
    </w:lvl>
    <w:lvl w:ilvl="1" w:tplc="26388CBA">
      <w:start w:val="1"/>
      <w:numFmt w:val="lowerLetter"/>
      <w:lvlText w:val="%2."/>
      <w:lvlJc w:val="left"/>
      <w:pPr>
        <w:ind w:left="1440" w:hanging="360"/>
      </w:pPr>
    </w:lvl>
    <w:lvl w:ilvl="2" w:tplc="4224EDCE">
      <w:start w:val="1"/>
      <w:numFmt w:val="lowerRoman"/>
      <w:lvlText w:val="%3."/>
      <w:lvlJc w:val="right"/>
      <w:pPr>
        <w:ind w:left="2160" w:hanging="180"/>
      </w:pPr>
    </w:lvl>
    <w:lvl w:ilvl="3" w:tplc="BD307624">
      <w:start w:val="1"/>
      <w:numFmt w:val="decimal"/>
      <w:lvlText w:val="%4."/>
      <w:lvlJc w:val="left"/>
      <w:pPr>
        <w:ind w:left="2880" w:hanging="360"/>
      </w:pPr>
    </w:lvl>
    <w:lvl w:ilvl="4" w:tplc="D7568E88">
      <w:start w:val="1"/>
      <w:numFmt w:val="lowerLetter"/>
      <w:lvlText w:val="%5."/>
      <w:lvlJc w:val="left"/>
      <w:pPr>
        <w:ind w:left="3600" w:hanging="360"/>
      </w:pPr>
    </w:lvl>
    <w:lvl w:ilvl="5" w:tplc="68121C7C">
      <w:start w:val="1"/>
      <w:numFmt w:val="lowerRoman"/>
      <w:lvlText w:val="%6."/>
      <w:lvlJc w:val="right"/>
      <w:pPr>
        <w:ind w:left="4320" w:hanging="180"/>
      </w:pPr>
    </w:lvl>
    <w:lvl w:ilvl="6" w:tplc="272AFA7A">
      <w:start w:val="1"/>
      <w:numFmt w:val="decimal"/>
      <w:lvlText w:val="%7."/>
      <w:lvlJc w:val="left"/>
      <w:pPr>
        <w:ind w:left="5040" w:hanging="360"/>
      </w:pPr>
    </w:lvl>
    <w:lvl w:ilvl="7" w:tplc="A7BEBD92">
      <w:start w:val="1"/>
      <w:numFmt w:val="lowerLetter"/>
      <w:lvlText w:val="%8."/>
      <w:lvlJc w:val="left"/>
      <w:pPr>
        <w:ind w:left="5760" w:hanging="360"/>
      </w:pPr>
    </w:lvl>
    <w:lvl w:ilvl="8" w:tplc="0736F13C">
      <w:start w:val="1"/>
      <w:numFmt w:val="lowerRoman"/>
      <w:lvlText w:val="%9."/>
      <w:lvlJc w:val="right"/>
      <w:pPr>
        <w:ind w:left="6480" w:hanging="180"/>
      </w:pPr>
    </w:lvl>
  </w:abstractNum>
  <w:abstractNum w:abstractNumId="1" w15:restartNumberingAfterBreak="0">
    <w:nsid w:val="33FC5D2E"/>
    <w:multiLevelType w:val="hybridMultilevel"/>
    <w:tmpl w:val="E9029A36"/>
    <w:lvl w:ilvl="0" w:tplc="79E6DCB8">
      <w:start w:val="1"/>
      <w:numFmt w:val="decimal"/>
      <w:lvlText w:val="%1."/>
      <w:lvlJc w:val="left"/>
      <w:pPr>
        <w:ind w:left="720" w:hanging="360"/>
      </w:pPr>
    </w:lvl>
    <w:lvl w:ilvl="1" w:tplc="0700C488">
      <w:start w:val="1"/>
      <w:numFmt w:val="lowerLetter"/>
      <w:lvlText w:val="%2."/>
      <w:lvlJc w:val="left"/>
      <w:pPr>
        <w:ind w:left="1440" w:hanging="360"/>
      </w:pPr>
    </w:lvl>
    <w:lvl w:ilvl="2" w:tplc="3774DDDA">
      <w:start w:val="1"/>
      <w:numFmt w:val="lowerRoman"/>
      <w:lvlText w:val="%3."/>
      <w:lvlJc w:val="right"/>
      <w:pPr>
        <w:ind w:left="2160" w:hanging="180"/>
      </w:pPr>
    </w:lvl>
    <w:lvl w:ilvl="3" w:tplc="75A490B0">
      <w:start w:val="1"/>
      <w:numFmt w:val="decimal"/>
      <w:lvlText w:val="%4."/>
      <w:lvlJc w:val="left"/>
      <w:pPr>
        <w:ind w:left="2880" w:hanging="360"/>
      </w:pPr>
    </w:lvl>
    <w:lvl w:ilvl="4" w:tplc="52863D50">
      <w:start w:val="1"/>
      <w:numFmt w:val="lowerLetter"/>
      <w:lvlText w:val="%5."/>
      <w:lvlJc w:val="left"/>
      <w:pPr>
        <w:ind w:left="3600" w:hanging="360"/>
      </w:pPr>
    </w:lvl>
    <w:lvl w:ilvl="5" w:tplc="B4C68B84">
      <w:start w:val="1"/>
      <w:numFmt w:val="lowerRoman"/>
      <w:lvlText w:val="%6."/>
      <w:lvlJc w:val="right"/>
      <w:pPr>
        <w:ind w:left="4320" w:hanging="180"/>
      </w:pPr>
    </w:lvl>
    <w:lvl w:ilvl="6" w:tplc="D806E5E8">
      <w:start w:val="1"/>
      <w:numFmt w:val="decimal"/>
      <w:lvlText w:val="%7."/>
      <w:lvlJc w:val="left"/>
      <w:pPr>
        <w:ind w:left="5040" w:hanging="360"/>
      </w:pPr>
    </w:lvl>
    <w:lvl w:ilvl="7" w:tplc="97B6B55A">
      <w:start w:val="1"/>
      <w:numFmt w:val="lowerLetter"/>
      <w:lvlText w:val="%8."/>
      <w:lvlJc w:val="left"/>
      <w:pPr>
        <w:ind w:left="5760" w:hanging="360"/>
      </w:pPr>
    </w:lvl>
    <w:lvl w:ilvl="8" w:tplc="EE1C588A">
      <w:start w:val="1"/>
      <w:numFmt w:val="lowerRoman"/>
      <w:lvlText w:val="%9."/>
      <w:lvlJc w:val="right"/>
      <w:pPr>
        <w:ind w:left="6480" w:hanging="180"/>
      </w:pPr>
    </w:lvl>
  </w:abstractNum>
  <w:num w:numId="1" w16cid:durableId="1090858032">
    <w:abstractNumId w:val="0"/>
  </w:num>
  <w:num w:numId="2" w16cid:durableId="50686923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D5C006"/>
    <w:rsid w:val="000F4AAA"/>
    <w:rsid w:val="002033C2"/>
    <w:rsid w:val="00544993"/>
    <w:rsid w:val="0062BE46"/>
    <w:rsid w:val="00BF1649"/>
    <w:rsid w:val="00D53435"/>
    <w:rsid w:val="00F70B61"/>
    <w:rsid w:val="01ACA59C"/>
    <w:rsid w:val="01E5BF85"/>
    <w:rsid w:val="026FB305"/>
    <w:rsid w:val="02B72FA3"/>
    <w:rsid w:val="03864246"/>
    <w:rsid w:val="04151C9D"/>
    <w:rsid w:val="04E981C7"/>
    <w:rsid w:val="05752AC4"/>
    <w:rsid w:val="06A22E5D"/>
    <w:rsid w:val="075EC1E0"/>
    <w:rsid w:val="083AC8EA"/>
    <w:rsid w:val="0855FEA1"/>
    <w:rsid w:val="08CCA3B6"/>
    <w:rsid w:val="08D98B74"/>
    <w:rsid w:val="0A2942AB"/>
    <w:rsid w:val="0A2992FD"/>
    <w:rsid w:val="0AA7DF24"/>
    <w:rsid w:val="0AC8551C"/>
    <w:rsid w:val="0AFB81A4"/>
    <w:rsid w:val="0C8EC3E1"/>
    <w:rsid w:val="0E6CB626"/>
    <w:rsid w:val="0EBB7C41"/>
    <w:rsid w:val="0EC2572D"/>
    <w:rsid w:val="0EECE8EE"/>
    <w:rsid w:val="0F3AD746"/>
    <w:rsid w:val="0F6E6DF6"/>
    <w:rsid w:val="10353F4F"/>
    <w:rsid w:val="1387FED3"/>
    <w:rsid w:val="141DED2E"/>
    <w:rsid w:val="1471EA23"/>
    <w:rsid w:val="1521E35C"/>
    <w:rsid w:val="154C83DC"/>
    <w:rsid w:val="1649F2BC"/>
    <w:rsid w:val="16A1242A"/>
    <w:rsid w:val="177B51B6"/>
    <w:rsid w:val="17EE59DB"/>
    <w:rsid w:val="1897CDC7"/>
    <w:rsid w:val="18D977FE"/>
    <w:rsid w:val="19D5317A"/>
    <w:rsid w:val="1CA29C22"/>
    <w:rsid w:val="1D76F164"/>
    <w:rsid w:val="1E0ABDCD"/>
    <w:rsid w:val="1F48B408"/>
    <w:rsid w:val="20F4FE77"/>
    <w:rsid w:val="214DC604"/>
    <w:rsid w:val="21D316EA"/>
    <w:rsid w:val="22933069"/>
    <w:rsid w:val="2396D190"/>
    <w:rsid w:val="23D5C006"/>
    <w:rsid w:val="240F1794"/>
    <w:rsid w:val="24BE9541"/>
    <w:rsid w:val="2554F461"/>
    <w:rsid w:val="258DA9EA"/>
    <w:rsid w:val="26DF9EE8"/>
    <w:rsid w:val="27464314"/>
    <w:rsid w:val="27AE9D6D"/>
    <w:rsid w:val="28A441D6"/>
    <w:rsid w:val="29E00435"/>
    <w:rsid w:val="2A0B29D8"/>
    <w:rsid w:val="2A34E860"/>
    <w:rsid w:val="2A3F3B8D"/>
    <w:rsid w:val="2B8A77D4"/>
    <w:rsid w:val="2BC7951E"/>
    <w:rsid w:val="2BE223C2"/>
    <w:rsid w:val="2C5E7E44"/>
    <w:rsid w:val="2E9ACD48"/>
    <w:rsid w:val="2EBC9D4C"/>
    <w:rsid w:val="2F09A2C7"/>
    <w:rsid w:val="2F5C98FA"/>
    <w:rsid w:val="2FB02FBE"/>
    <w:rsid w:val="2FE01AD2"/>
    <w:rsid w:val="309F7B3F"/>
    <w:rsid w:val="3125643E"/>
    <w:rsid w:val="31AD837E"/>
    <w:rsid w:val="31FAD6CD"/>
    <w:rsid w:val="327CDA1B"/>
    <w:rsid w:val="32957131"/>
    <w:rsid w:val="329E5B12"/>
    <w:rsid w:val="32C4F0A7"/>
    <w:rsid w:val="32D194FC"/>
    <w:rsid w:val="3388DE3F"/>
    <w:rsid w:val="345A6AA4"/>
    <w:rsid w:val="35EB77B4"/>
    <w:rsid w:val="3773E667"/>
    <w:rsid w:val="37CEF0E3"/>
    <w:rsid w:val="382E54E4"/>
    <w:rsid w:val="389BEB0D"/>
    <w:rsid w:val="394ABD34"/>
    <w:rsid w:val="39B340A7"/>
    <w:rsid w:val="3A9E427E"/>
    <w:rsid w:val="3B26D0BA"/>
    <w:rsid w:val="3BC190F3"/>
    <w:rsid w:val="3BEBB067"/>
    <w:rsid w:val="3C35A746"/>
    <w:rsid w:val="3D976872"/>
    <w:rsid w:val="4061EAB4"/>
    <w:rsid w:val="408AE0E2"/>
    <w:rsid w:val="4124E07B"/>
    <w:rsid w:val="42526525"/>
    <w:rsid w:val="438D13EB"/>
    <w:rsid w:val="439092AB"/>
    <w:rsid w:val="43923C2E"/>
    <w:rsid w:val="44666840"/>
    <w:rsid w:val="4519BD56"/>
    <w:rsid w:val="453BF124"/>
    <w:rsid w:val="453E126F"/>
    <w:rsid w:val="45E4ED58"/>
    <w:rsid w:val="46034394"/>
    <w:rsid w:val="46373396"/>
    <w:rsid w:val="470A2E26"/>
    <w:rsid w:val="472BD1AF"/>
    <w:rsid w:val="47A9B9B5"/>
    <w:rsid w:val="498547A8"/>
    <w:rsid w:val="4B03670D"/>
    <w:rsid w:val="4B5CBBD7"/>
    <w:rsid w:val="4D56B7AC"/>
    <w:rsid w:val="4DF3EED2"/>
    <w:rsid w:val="4E9DCE85"/>
    <w:rsid w:val="4EA7A960"/>
    <w:rsid w:val="4EE5D586"/>
    <w:rsid w:val="4F3B1583"/>
    <w:rsid w:val="4F4AE721"/>
    <w:rsid w:val="4F63AA19"/>
    <w:rsid w:val="4FCF3C6B"/>
    <w:rsid w:val="50652F65"/>
    <w:rsid w:val="50D9F68B"/>
    <w:rsid w:val="529CC2DE"/>
    <w:rsid w:val="52DB1802"/>
    <w:rsid w:val="53947BF1"/>
    <w:rsid w:val="5567C7E8"/>
    <w:rsid w:val="56F9BA4B"/>
    <w:rsid w:val="57967217"/>
    <w:rsid w:val="58344D32"/>
    <w:rsid w:val="5903DE91"/>
    <w:rsid w:val="59D32DB3"/>
    <w:rsid w:val="5AE0E94C"/>
    <w:rsid w:val="5B10C426"/>
    <w:rsid w:val="5B348131"/>
    <w:rsid w:val="5B3E1877"/>
    <w:rsid w:val="5B659AE4"/>
    <w:rsid w:val="5C51DF20"/>
    <w:rsid w:val="5D1F372A"/>
    <w:rsid w:val="5D3F94B7"/>
    <w:rsid w:val="5F3FE869"/>
    <w:rsid w:val="5F81B16F"/>
    <w:rsid w:val="60232A02"/>
    <w:rsid w:val="61428EA0"/>
    <w:rsid w:val="61884DD9"/>
    <w:rsid w:val="61FF6C71"/>
    <w:rsid w:val="62234218"/>
    <w:rsid w:val="62B10073"/>
    <w:rsid w:val="62F268B0"/>
    <w:rsid w:val="63532470"/>
    <w:rsid w:val="64640145"/>
    <w:rsid w:val="64955EA6"/>
    <w:rsid w:val="65C628E4"/>
    <w:rsid w:val="662A4E1F"/>
    <w:rsid w:val="66A81905"/>
    <w:rsid w:val="671157B0"/>
    <w:rsid w:val="6736675E"/>
    <w:rsid w:val="67464005"/>
    <w:rsid w:val="67D279B8"/>
    <w:rsid w:val="690A4C19"/>
    <w:rsid w:val="69E34CB7"/>
    <w:rsid w:val="6A2074B1"/>
    <w:rsid w:val="6A80F4B1"/>
    <w:rsid w:val="6B021411"/>
    <w:rsid w:val="6BFB8C80"/>
    <w:rsid w:val="6E812EF6"/>
    <w:rsid w:val="6E99C943"/>
    <w:rsid w:val="6F2F87B4"/>
    <w:rsid w:val="6FF3D4AB"/>
    <w:rsid w:val="70D38781"/>
    <w:rsid w:val="711A452F"/>
    <w:rsid w:val="71AB6EB8"/>
    <w:rsid w:val="71F398F3"/>
    <w:rsid w:val="722263D5"/>
    <w:rsid w:val="7340625E"/>
    <w:rsid w:val="740FF536"/>
    <w:rsid w:val="74862ED4"/>
    <w:rsid w:val="74EB8AE4"/>
    <w:rsid w:val="75B827CA"/>
    <w:rsid w:val="76290678"/>
    <w:rsid w:val="76745A04"/>
    <w:rsid w:val="76A7C561"/>
    <w:rsid w:val="76A958F8"/>
    <w:rsid w:val="788D6CBD"/>
    <w:rsid w:val="79EE4E5E"/>
    <w:rsid w:val="7A240659"/>
    <w:rsid w:val="7A623204"/>
    <w:rsid w:val="7BE335C3"/>
    <w:rsid w:val="7C1494D3"/>
    <w:rsid w:val="7C9FA305"/>
    <w:rsid w:val="7E03950A"/>
    <w:rsid w:val="7F1E5C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5C006"/>
  <w15:chartTrackingRefBased/>
  <w15:docId w15:val="{EBDE3668-BF37-4BC6-923A-7ABB57D8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uiPriority w:val="9"/>
    <w:unhideWhenUsed/>
    <w:qFormat/>
    <w:rsid w:val="382E54E4"/>
    <w:pPr>
      <w:keepNext/>
      <w:keepLines/>
      <w:spacing w:before="160" w:after="80"/>
      <w:outlineLvl w:val="2"/>
    </w:pPr>
    <w:rPr>
      <w:rFonts w:eastAsiaTheme="minorEastAsia" w:cstheme="majorEastAsia"/>
      <w:color w:val="0F476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382E54E4"/>
    <w:pPr>
      <w:ind w:left="720"/>
      <w:contextualSpacing/>
    </w:pPr>
  </w:style>
  <w:style w:type="character" w:styleId="Hipervnculo">
    <w:name w:val="Hyperlink"/>
    <w:basedOn w:val="Fuentedeprrafopredeter"/>
    <w:uiPriority w:val="99"/>
    <w:unhideWhenUsed/>
    <w:rsid w:val="382E54E4"/>
    <w:rPr>
      <w:u w:val="single"/>
    </w:rPr>
  </w:style>
  <w:style w:type="paragraph" w:styleId="Encabezado">
    <w:name w:val="header"/>
    <w:basedOn w:val="Normal"/>
    <w:uiPriority w:val="99"/>
    <w:unhideWhenUsed/>
    <w:rsid w:val="382E54E4"/>
    <w:pPr>
      <w:tabs>
        <w:tab w:val="center" w:pos="4680"/>
        <w:tab w:val="right" w:pos="9360"/>
      </w:tabs>
      <w:spacing w:after="0" w:line="240" w:lineRule="auto"/>
    </w:pPr>
  </w:style>
  <w:style w:type="paragraph" w:styleId="Piedepgina">
    <w:name w:val="footer"/>
    <w:basedOn w:val="Normal"/>
    <w:uiPriority w:val="99"/>
    <w:unhideWhenUsed/>
    <w:rsid w:val="382E54E4"/>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semiHidden/>
    <w:unhideWhenUsed/>
    <w:rsid w:val="00F70B61"/>
    <w:rPr>
      <w:sz w:val="16"/>
      <w:szCs w:val="16"/>
    </w:rPr>
  </w:style>
  <w:style w:type="paragraph" w:styleId="Textocomentario">
    <w:name w:val="annotation text"/>
    <w:basedOn w:val="Normal"/>
    <w:link w:val="TextocomentarioCar"/>
    <w:uiPriority w:val="99"/>
    <w:semiHidden/>
    <w:unhideWhenUsed/>
    <w:rsid w:val="00F70B6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70B61"/>
    <w:rPr>
      <w:sz w:val="20"/>
      <w:szCs w:val="20"/>
    </w:rPr>
  </w:style>
  <w:style w:type="paragraph" w:styleId="Asuntodelcomentario">
    <w:name w:val="annotation subject"/>
    <w:basedOn w:val="Textocomentario"/>
    <w:next w:val="Textocomentario"/>
    <w:link w:val="AsuntodelcomentarioCar"/>
    <w:uiPriority w:val="99"/>
    <w:semiHidden/>
    <w:unhideWhenUsed/>
    <w:rsid w:val="00F70B61"/>
    <w:rPr>
      <w:b/>
      <w:bCs/>
    </w:rPr>
  </w:style>
  <w:style w:type="character" w:customStyle="1" w:styleId="AsuntodelcomentarioCar">
    <w:name w:val="Asunto del comentario Car"/>
    <w:basedOn w:val="TextocomentarioCar"/>
    <w:link w:val="Asuntodelcomentario"/>
    <w:uiPriority w:val="99"/>
    <w:semiHidden/>
    <w:rsid w:val="00F70B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elo.isciii.es/pdf/resp/v92/1135-5727-resp-92-e20180628.pdf"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aprofaeduca.cl/wp-content/uploads/2024/02/encuesta-nacional-de-salud-sexualidad-y-genero.-Primeros-resultado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73D0D-92CB-4EBF-997E-1E68D5B88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1401</Words>
  <Characters>7706</Characters>
  <Application>Microsoft Office Word</Application>
  <DocSecurity>0</DocSecurity>
  <Lines>64</Lines>
  <Paragraphs>18</Paragraphs>
  <ScaleCrop>false</ScaleCrop>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ramos ramos</dc:creator>
  <cp:keywords/>
  <dc:description/>
  <cp:lastModifiedBy>Sebastián Matías Muñoz Tapia</cp:lastModifiedBy>
  <cp:revision>3</cp:revision>
  <dcterms:created xsi:type="dcterms:W3CDTF">2024-10-17T23:23:00Z</dcterms:created>
  <dcterms:modified xsi:type="dcterms:W3CDTF">2024-10-28T19:21:00Z</dcterms:modified>
</cp:coreProperties>
</file>