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E78BE1" w14:textId="77777777" w:rsidR="0072522A" w:rsidRPr="00563870" w:rsidRDefault="0072522A" w:rsidP="00563870">
      <w:pPr>
        <w:jc w:val="both"/>
        <w:rPr>
          <w:rFonts w:ascii="Arial" w:eastAsia="EB Garamond" w:hAnsi="Arial" w:cs="Arial"/>
          <w:smallCaps/>
          <w:sz w:val="22"/>
          <w:szCs w:val="22"/>
        </w:rPr>
      </w:pPr>
      <w:r w:rsidRPr="00563870">
        <w:rPr>
          <w:rFonts w:ascii="Arial" w:hAnsi="Arial" w:cs="Arial"/>
          <w:noProof/>
          <w:sz w:val="22"/>
          <w:szCs w:val="22"/>
        </w:rPr>
        <w:drawing>
          <wp:anchor distT="0" distB="0" distL="114300" distR="114300" simplePos="0" relativeHeight="251659264" behindDoc="0" locked="0" layoutInCell="1" allowOverlap="1" wp14:anchorId="057DD1C2" wp14:editId="46E4A7DD">
            <wp:simplePos x="0" y="0"/>
            <wp:positionH relativeFrom="column">
              <wp:posOffset>507861</wp:posOffset>
            </wp:positionH>
            <wp:positionV relativeFrom="paragraph">
              <wp:posOffset>158800</wp:posOffset>
            </wp:positionV>
            <wp:extent cx="2830830" cy="2775585"/>
            <wp:effectExtent l="0" t="0" r="7620" b="571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30830" cy="2775585"/>
                    </a:xfrm>
                    <a:prstGeom prst="rect">
                      <a:avLst/>
                    </a:prstGeom>
                    <a:noFill/>
                  </pic:spPr>
                </pic:pic>
              </a:graphicData>
            </a:graphic>
            <wp14:sizeRelH relativeFrom="margin">
              <wp14:pctWidth>0</wp14:pctWidth>
            </wp14:sizeRelH>
            <wp14:sizeRelV relativeFrom="margin">
              <wp14:pctHeight>0</wp14:pctHeight>
            </wp14:sizeRelV>
          </wp:anchor>
        </w:drawing>
      </w:r>
    </w:p>
    <w:p w14:paraId="5BEE3691" w14:textId="77777777" w:rsidR="0072522A" w:rsidRPr="00563870" w:rsidRDefault="0072522A" w:rsidP="00563870">
      <w:pPr>
        <w:jc w:val="both"/>
        <w:rPr>
          <w:rFonts w:ascii="Arial" w:eastAsia="EB Garamond" w:hAnsi="Arial" w:cs="Arial"/>
          <w:smallCaps/>
          <w:sz w:val="22"/>
          <w:szCs w:val="22"/>
        </w:rPr>
      </w:pPr>
    </w:p>
    <w:p w14:paraId="5CB02DDE" w14:textId="77777777" w:rsidR="0072522A" w:rsidRPr="00563870" w:rsidRDefault="0072522A" w:rsidP="00563870">
      <w:pPr>
        <w:jc w:val="both"/>
        <w:rPr>
          <w:rFonts w:ascii="Arial" w:eastAsia="EB Garamond" w:hAnsi="Arial" w:cs="Arial"/>
          <w:b/>
          <w:bCs/>
          <w:sz w:val="22"/>
          <w:szCs w:val="22"/>
        </w:rPr>
      </w:pPr>
      <w:r w:rsidRPr="00563870">
        <w:rPr>
          <w:rFonts w:ascii="Arial" w:eastAsia="EB Garamond" w:hAnsi="Arial" w:cs="Arial"/>
          <w:b/>
          <w:bCs/>
          <w:sz w:val="22"/>
          <w:szCs w:val="22"/>
        </w:rPr>
        <w:t xml:space="preserve"> </w:t>
      </w:r>
    </w:p>
    <w:p w14:paraId="6DDC8BA4" w14:textId="77777777" w:rsidR="0072522A" w:rsidRPr="00563870" w:rsidRDefault="0072522A" w:rsidP="00563870">
      <w:pPr>
        <w:jc w:val="both"/>
        <w:rPr>
          <w:rFonts w:ascii="Arial" w:hAnsi="Arial" w:cs="Arial"/>
          <w:b/>
          <w:bCs/>
          <w:sz w:val="22"/>
          <w:szCs w:val="22"/>
        </w:rPr>
      </w:pPr>
    </w:p>
    <w:p w14:paraId="40E6054B" w14:textId="77777777" w:rsidR="0072522A" w:rsidRPr="00563870" w:rsidRDefault="0072522A" w:rsidP="00563870">
      <w:pPr>
        <w:jc w:val="both"/>
        <w:rPr>
          <w:rFonts w:ascii="Arial" w:hAnsi="Arial" w:cs="Arial"/>
          <w:b/>
          <w:bCs/>
          <w:sz w:val="22"/>
          <w:szCs w:val="22"/>
        </w:rPr>
      </w:pPr>
    </w:p>
    <w:p w14:paraId="5365EBAE" w14:textId="77777777" w:rsidR="0072522A" w:rsidRPr="00563870" w:rsidRDefault="0072522A" w:rsidP="00563870">
      <w:pPr>
        <w:jc w:val="both"/>
        <w:rPr>
          <w:rFonts w:ascii="Arial" w:hAnsi="Arial" w:cs="Arial"/>
          <w:b/>
          <w:bCs/>
          <w:sz w:val="22"/>
          <w:szCs w:val="22"/>
        </w:rPr>
      </w:pPr>
    </w:p>
    <w:p w14:paraId="080F5F76" w14:textId="77777777" w:rsidR="0072522A" w:rsidRPr="00563870" w:rsidRDefault="0072522A" w:rsidP="00563870">
      <w:pPr>
        <w:jc w:val="both"/>
        <w:rPr>
          <w:rFonts w:ascii="Arial" w:hAnsi="Arial" w:cs="Arial"/>
          <w:b/>
          <w:bCs/>
          <w:sz w:val="22"/>
          <w:szCs w:val="22"/>
        </w:rPr>
      </w:pPr>
    </w:p>
    <w:p w14:paraId="50CDDEE6" w14:textId="77777777" w:rsidR="0072522A" w:rsidRPr="00563870" w:rsidRDefault="0072522A" w:rsidP="00563870">
      <w:pPr>
        <w:jc w:val="both"/>
        <w:rPr>
          <w:rFonts w:ascii="Arial" w:hAnsi="Arial" w:cs="Arial"/>
          <w:b/>
          <w:bCs/>
          <w:sz w:val="22"/>
          <w:szCs w:val="22"/>
        </w:rPr>
      </w:pPr>
    </w:p>
    <w:p w14:paraId="04ECFDC4" w14:textId="77777777" w:rsidR="0072522A" w:rsidRPr="00563870" w:rsidRDefault="0072522A" w:rsidP="00563870">
      <w:pPr>
        <w:jc w:val="both"/>
        <w:rPr>
          <w:rFonts w:ascii="Arial" w:hAnsi="Arial" w:cs="Arial"/>
          <w:b/>
          <w:bCs/>
          <w:sz w:val="22"/>
          <w:szCs w:val="22"/>
        </w:rPr>
      </w:pPr>
    </w:p>
    <w:p w14:paraId="12D00460" w14:textId="77777777" w:rsidR="0072522A" w:rsidRPr="00563870" w:rsidRDefault="0072522A" w:rsidP="00563870">
      <w:pPr>
        <w:jc w:val="both"/>
        <w:rPr>
          <w:rFonts w:ascii="Arial" w:hAnsi="Arial" w:cs="Arial"/>
          <w:b/>
          <w:bCs/>
          <w:sz w:val="22"/>
          <w:szCs w:val="22"/>
        </w:rPr>
      </w:pPr>
    </w:p>
    <w:p w14:paraId="514484E1" w14:textId="77777777" w:rsidR="0072522A" w:rsidRPr="00563870" w:rsidRDefault="0072522A" w:rsidP="00563870">
      <w:pPr>
        <w:jc w:val="both"/>
        <w:rPr>
          <w:rFonts w:ascii="Arial" w:hAnsi="Arial" w:cs="Arial"/>
          <w:b/>
          <w:bCs/>
          <w:sz w:val="22"/>
          <w:szCs w:val="22"/>
        </w:rPr>
      </w:pPr>
    </w:p>
    <w:p w14:paraId="28D0280A" w14:textId="77777777" w:rsidR="00B9243B" w:rsidRPr="00563870" w:rsidRDefault="00B9243B" w:rsidP="00563870">
      <w:pPr>
        <w:jc w:val="right"/>
        <w:rPr>
          <w:rFonts w:ascii="Arial" w:hAnsi="Arial" w:cs="Arial"/>
          <w:b/>
          <w:bCs/>
          <w:sz w:val="22"/>
          <w:szCs w:val="22"/>
        </w:rPr>
      </w:pPr>
    </w:p>
    <w:p w14:paraId="64420128" w14:textId="77777777" w:rsidR="00B9243B" w:rsidRPr="00563870" w:rsidRDefault="0072522A" w:rsidP="00563870">
      <w:pPr>
        <w:jc w:val="right"/>
        <w:rPr>
          <w:rFonts w:ascii="Arial" w:hAnsi="Arial" w:cs="Arial"/>
          <w:b/>
          <w:bCs/>
          <w:sz w:val="22"/>
          <w:szCs w:val="22"/>
        </w:rPr>
      </w:pPr>
      <w:r w:rsidRPr="00563870">
        <w:rPr>
          <w:rFonts w:ascii="Arial" w:hAnsi="Arial" w:cs="Arial"/>
          <w:b/>
          <w:bCs/>
          <w:sz w:val="22"/>
          <w:szCs w:val="22"/>
        </w:rPr>
        <w:t>Métodos Cuantitativos I</w:t>
      </w:r>
      <w:r w:rsidR="00B9243B" w:rsidRPr="00563870">
        <w:rPr>
          <w:rFonts w:ascii="Arial" w:hAnsi="Arial" w:cs="Arial"/>
          <w:b/>
          <w:bCs/>
          <w:sz w:val="22"/>
          <w:szCs w:val="22"/>
        </w:rPr>
        <w:t xml:space="preserve"> </w:t>
      </w:r>
    </w:p>
    <w:p w14:paraId="4CAA99CF" w14:textId="74FA78D2" w:rsidR="0072522A" w:rsidRPr="00563870" w:rsidRDefault="0072522A" w:rsidP="00563870">
      <w:pPr>
        <w:jc w:val="right"/>
        <w:rPr>
          <w:rFonts w:ascii="Arial" w:hAnsi="Arial" w:cs="Arial"/>
          <w:b/>
          <w:bCs/>
          <w:sz w:val="22"/>
          <w:szCs w:val="22"/>
        </w:rPr>
      </w:pPr>
    </w:p>
    <w:p w14:paraId="47DB6D85" w14:textId="77777777" w:rsidR="0072522A" w:rsidRPr="00563870" w:rsidRDefault="0072522A" w:rsidP="00563870">
      <w:pPr>
        <w:jc w:val="right"/>
        <w:rPr>
          <w:rFonts w:ascii="Arial" w:hAnsi="Arial" w:cs="Arial"/>
          <w:b/>
          <w:bCs/>
          <w:sz w:val="22"/>
          <w:szCs w:val="22"/>
        </w:rPr>
      </w:pPr>
    </w:p>
    <w:p w14:paraId="4805608E" w14:textId="77777777" w:rsidR="0072522A" w:rsidRPr="00563870" w:rsidRDefault="0072522A" w:rsidP="00563870">
      <w:pPr>
        <w:jc w:val="right"/>
        <w:rPr>
          <w:rFonts w:ascii="Arial" w:hAnsi="Arial" w:cs="Arial"/>
          <w:sz w:val="22"/>
          <w:szCs w:val="22"/>
        </w:rPr>
      </w:pPr>
      <w:r w:rsidRPr="00563870">
        <w:rPr>
          <w:rFonts w:ascii="Arial" w:hAnsi="Arial" w:cs="Arial"/>
          <w:sz w:val="22"/>
          <w:szCs w:val="22"/>
        </w:rPr>
        <w:t>Alumna:</w:t>
      </w:r>
    </w:p>
    <w:p w14:paraId="11560E3E" w14:textId="77777777" w:rsidR="0072522A" w:rsidRPr="00563870" w:rsidRDefault="0072522A" w:rsidP="00563870">
      <w:pPr>
        <w:jc w:val="right"/>
        <w:rPr>
          <w:rFonts w:ascii="Arial" w:hAnsi="Arial" w:cs="Arial"/>
          <w:sz w:val="22"/>
          <w:szCs w:val="22"/>
        </w:rPr>
      </w:pPr>
      <w:r w:rsidRPr="00563870">
        <w:rPr>
          <w:rFonts w:ascii="Arial" w:hAnsi="Arial" w:cs="Arial"/>
          <w:sz w:val="22"/>
          <w:szCs w:val="22"/>
        </w:rPr>
        <w:t xml:space="preserve">Nazareth Salazar </w:t>
      </w:r>
      <w:commentRangeStart w:id="0"/>
      <w:r w:rsidRPr="00563870">
        <w:rPr>
          <w:rFonts w:ascii="Arial" w:hAnsi="Arial" w:cs="Arial"/>
          <w:sz w:val="22"/>
          <w:szCs w:val="22"/>
        </w:rPr>
        <w:t>A</w:t>
      </w:r>
      <w:commentRangeEnd w:id="0"/>
      <w:r w:rsidR="005D485D">
        <w:rPr>
          <w:rStyle w:val="Refdecomentario"/>
        </w:rPr>
        <w:commentReference w:id="0"/>
      </w:r>
      <w:r w:rsidRPr="00563870">
        <w:rPr>
          <w:rFonts w:ascii="Arial" w:hAnsi="Arial" w:cs="Arial"/>
          <w:sz w:val="22"/>
          <w:szCs w:val="22"/>
        </w:rPr>
        <w:t xml:space="preserve">. </w:t>
      </w:r>
    </w:p>
    <w:p w14:paraId="2D6D0E28" w14:textId="77777777" w:rsidR="0072522A" w:rsidRPr="00563870" w:rsidRDefault="0072522A" w:rsidP="00563870">
      <w:pPr>
        <w:jc w:val="right"/>
        <w:rPr>
          <w:rFonts w:ascii="Arial" w:eastAsia="EB Garamond" w:hAnsi="Arial" w:cs="Arial"/>
          <w:smallCaps/>
          <w:sz w:val="22"/>
          <w:szCs w:val="22"/>
        </w:rPr>
      </w:pPr>
    </w:p>
    <w:p w14:paraId="4BC4DFC2" w14:textId="77777777" w:rsidR="0072522A" w:rsidRPr="00563870" w:rsidRDefault="0072522A" w:rsidP="00563870">
      <w:pPr>
        <w:jc w:val="right"/>
        <w:rPr>
          <w:rFonts w:ascii="Arial" w:hAnsi="Arial" w:cs="Arial"/>
          <w:sz w:val="22"/>
          <w:szCs w:val="22"/>
        </w:rPr>
      </w:pPr>
      <w:r w:rsidRPr="00563870">
        <w:rPr>
          <w:rFonts w:ascii="Arial" w:hAnsi="Arial" w:cs="Arial"/>
          <w:sz w:val="22"/>
          <w:szCs w:val="22"/>
        </w:rPr>
        <w:t>Docente a cargo:</w:t>
      </w:r>
    </w:p>
    <w:p w14:paraId="5AC8FD67" w14:textId="55C5AAC7" w:rsidR="0072522A" w:rsidRPr="00563870" w:rsidRDefault="00B9243B" w:rsidP="00563870">
      <w:pPr>
        <w:jc w:val="right"/>
        <w:rPr>
          <w:rFonts w:ascii="Arial" w:hAnsi="Arial" w:cs="Arial"/>
          <w:sz w:val="22"/>
          <w:szCs w:val="22"/>
        </w:rPr>
      </w:pPr>
      <w:r w:rsidRPr="00563870">
        <w:rPr>
          <w:rFonts w:ascii="Arial" w:hAnsi="Arial" w:cs="Arial"/>
          <w:sz w:val="22"/>
          <w:szCs w:val="22"/>
        </w:rPr>
        <w:t>Sebastián Muñoz</w:t>
      </w:r>
    </w:p>
    <w:p w14:paraId="6BAE2FC8" w14:textId="77777777" w:rsidR="0072522A" w:rsidRPr="00563870" w:rsidRDefault="0072522A" w:rsidP="00563870">
      <w:pPr>
        <w:jc w:val="right"/>
        <w:rPr>
          <w:rFonts w:ascii="Arial" w:hAnsi="Arial" w:cs="Arial"/>
          <w:sz w:val="22"/>
          <w:szCs w:val="22"/>
        </w:rPr>
      </w:pPr>
    </w:p>
    <w:p w14:paraId="146C03EB" w14:textId="77777777" w:rsidR="0072522A" w:rsidRPr="00563870" w:rsidRDefault="0072522A" w:rsidP="00563870">
      <w:pPr>
        <w:jc w:val="right"/>
        <w:rPr>
          <w:rFonts w:ascii="Arial" w:hAnsi="Arial" w:cs="Arial"/>
          <w:sz w:val="22"/>
          <w:szCs w:val="22"/>
        </w:rPr>
      </w:pPr>
      <w:r w:rsidRPr="00563870">
        <w:rPr>
          <w:rFonts w:ascii="Arial" w:hAnsi="Arial" w:cs="Arial"/>
          <w:sz w:val="22"/>
          <w:szCs w:val="22"/>
        </w:rPr>
        <w:t xml:space="preserve">Ayudanta: </w:t>
      </w:r>
    </w:p>
    <w:p w14:paraId="0EDF1661" w14:textId="76EABA9A" w:rsidR="0072522A" w:rsidRPr="00563870" w:rsidRDefault="00B9243B" w:rsidP="00563870">
      <w:pPr>
        <w:jc w:val="right"/>
        <w:rPr>
          <w:rFonts w:ascii="Arial" w:hAnsi="Arial" w:cs="Arial"/>
          <w:sz w:val="22"/>
          <w:szCs w:val="22"/>
        </w:rPr>
      </w:pPr>
      <w:r w:rsidRPr="00563870">
        <w:rPr>
          <w:rFonts w:ascii="Arial" w:hAnsi="Arial" w:cs="Arial"/>
          <w:sz w:val="22"/>
          <w:szCs w:val="22"/>
        </w:rPr>
        <w:t>Matías Álvarez</w:t>
      </w:r>
    </w:p>
    <w:p w14:paraId="1F6A5012" w14:textId="77777777" w:rsidR="0072522A" w:rsidRPr="00563870" w:rsidRDefault="0072522A" w:rsidP="00563870">
      <w:pPr>
        <w:jc w:val="right"/>
        <w:rPr>
          <w:rFonts w:ascii="Arial" w:hAnsi="Arial" w:cs="Arial"/>
          <w:sz w:val="22"/>
          <w:szCs w:val="22"/>
        </w:rPr>
      </w:pPr>
    </w:p>
    <w:p w14:paraId="4C8E8B4B" w14:textId="637C568A" w:rsidR="0072522A" w:rsidRPr="00563870" w:rsidRDefault="009B64F7" w:rsidP="00563870">
      <w:pPr>
        <w:jc w:val="right"/>
        <w:rPr>
          <w:rFonts w:ascii="Arial" w:hAnsi="Arial" w:cs="Arial"/>
          <w:sz w:val="22"/>
          <w:szCs w:val="22"/>
        </w:rPr>
      </w:pPr>
      <w:r w:rsidRPr="00563870">
        <w:rPr>
          <w:rFonts w:ascii="Arial" w:hAnsi="Arial" w:cs="Arial"/>
          <w:sz w:val="22"/>
          <w:szCs w:val="22"/>
        </w:rPr>
        <w:t>17.10</w:t>
      </w:r>
      <w:r w:rsidR="0072522A" w:rsidRPr="00563870">
        <w:rPr>
          <w:rFonts w:ascii="Arial" w:hAnsi="Arial" w:cs="Arial"/>
          <w:sz w:val="22"/>
          <w:szCs w:val="22"/>
        </w:rPr>
        <w:t>.2024</w:t>
      </w:r>
    </w:p>
    <w:p w14:paraId="1382A466" w14:textId="77777777" w:rsidR="0072522A" w:rsidRPr="00563870" w:rsidRDefault="0072522A" w:rsidP="00563870">
      <w:pPr>
        <w:jc w:val="right"/>
        <w:rPr>
          <w:rFonts w:ascii="Arial" w:hAnsi="Arial" w:cs="Arial"/>
          <w:sz w:val="22"/>
          <w:szCs w:val="22"/>
        </w:rPr>
      </w:pPr>
    </w:p>
    <w:p w14:paraId="15E9A2F7" w14:textId="77777777" w:rsidR="0072522A" w:rsidRPr="00563870" w:rsidRDefault="0072522A" w:rsidP="00563870">
      <w:pPr>
        <w:jc w:val="right"/>
        <w:rPr>
          <w:rFonts w:ascii="Arial" w:hAnsi="Arial" w:cs="Arial"/>
          <w:sz w:val="22"/>
          <w:szCs w:val="22"/>
        </w:rPr>
      </w:pPr>
    </w:p>
    <w:p w14:paraId="3F1DA344" w14:textId="77777777" w:rsidR="0072522A" w:rsidRPr="00563870" w:rsidRDefault="0072522A" w:rsidP="00563870">
      <w:pPr>
        <w:jc w:val="right"/>
        <w:rPr>
          <w:rFonts w:ascii="Arial" w:hAnsi="Arial" w:cs="Arial"/>
          <w:sz w:val="22"/>
          <w:szCs w:val="22"/>
        </w:rPr>
      </w:pPr>
    </w:p>
    <w:p w14:paraId="6F0D30C1" w14:textId="77777777" w:rsidR="0072522A" w:rsidRPr="00563870" w:rsidRDefault="0072522A" w:rsidP="00563870">
      <w:pPr>
        <w:jc w:val="right"/>
        <w:rPr>
          <w:rFonts w:ascii="Arial" w:hAnsi="Arial" w:cs="Arial"/>
          <w:sz w:val="22"/>
          <w:szCs w:val="22"/>
        </w:rPr>
      </w:pPr>
    </w:p>
    <w:p w14:paraId="68146023" w14:textId="77777777" w:rsidR="0072522A" w:rsidRPr="00563870" w:rsidRDefault="0072522A" w:rsidP="00563870">
      <w:pPr>
        <w:jc w:val="right"/>
        <w:rPr>
          <w:rFonts w:ascii="Arial" w:hAnsi="Arial" w:cs="Arial"/>
          <w:sz w:val="22"/>
          <w:szCs w:val="22"/>
        </w:rPr>
      </w:pPr>
    </w:p>
    <w:p w14:paraId="70B8FAA6" w14:textId="77777777" w:rsidR="0072522A" w:rsidRPr="00563870" w:rsidRDefault="0072522A" w:rsidP="00563870">
      <w:pPr>
        <w:jc w:val="right"/>
        <w:rPr>
          <w:rFonts w:ascii="Arial" w:hAnsi="Arial" w:cs="Arial"/>
          <w:sz w:val="22"/>
          <w:szCs w:val="22"/>
        </w:rPr>
      </w:pPr>
    </w:p>
    <w:p w14:paraId="0374ADA4" w14:textId="77777777" w:rsidR="0072522A" w:rsidRPr="00563870" w:rsidRDefault="0072522A" w:rsidP="00563870">
      <w:pPr>
        <w:jc w:val="right"/>
        <w:rPr>
          <w:rFonts w:ascii="Arial" w:hAnsi="Arial" w:cs="Arial"/>
          <w:sz w:val="22"/>
          <w:szCs w:val="22"/>
        </w:rPr>
      </w:pPr>
    </w:p>
    <w:p w14:paraId="2E361F75" w14:textId="77777777" w:rsidR="0072522A" w:rsidRPr="00563870" w:rsidRDefault="0072522A" w:rsidP="00563870">
      <w:pPr>
        <w:jc w:val="right"/>
        <w:rPr>
          <w:rFonts w:ascii="Arial" w:hAnsi="Arial" w:cs="Arial"/>
          <w:sz w:val="22"/>
          <w:szCs w:val="22"/>
        </w:rPr>
      </w:pPr>
    </w:p>
    <w:p w14:paraId="6D618BCA" w14:textId="77777777" w:rsidR="0072522A" w:rsidRPr="00563870" w:rsidRDefault="0072522A" w:rsidP="00563870">
      <w:pPr>
        <w:jc w:val="right"/>
        <w:rPr>
          <w:rFonts w:ascii="Arial" w:hAnsi="Arial" w:cs="Arial"/>
          <w:sz w:val="22"/>
          <w:szCs w:val="22"/>
        </w:rPr>
      </w:pPr>
    </w:p>
    <w:p w14:paraId="523CBEBD" w14:textId="77777777" w:rsidR="0072522A" w:rsidRPr="00563870" w:rsidRDefault="0072522A" w:rsidP="00563870">
      <w:pPr>
        <w:jc w:val="right"/>
        <w:rPr>
          <w:rFonts w:ascii="Arial" w:hAnsi="Arial" w:cs="Arial"/>
          <w:sz w:val="22"/>
          <w:szCs w:val="22"/>
        </w:rPr>
      </w:pPr>
    </w:p>
    <w:p w14:paraId="7F6E4A53" w14:textId="77777777" w:rsidR="0072522A" w:rsidRPr="00563870" w:rsidRDefault="0072522A" w:rsidP="00563870">
      <w:pPr>
        <w:jc w:val="center"/>
        <w:rPr>
          <w:rFonts w:ascii="Arial" w:hAnsi="Arial" w:cs="Arial"/>
          <w:b/>
          <w:bCs/>
          <w:sz w:val="28"/>
          <w:szCs w:val="28"/>
        </w:rPr>
      </w:pPr>
      <w:r w:rsidRPr="00563870">
        <w:rPr>
          <w:rFonts w:ascii="Arial" w:hAnsi="Arial" w:cs="Arial"/>
          <w:b/>
          <w:bCs/>
          <w:sz w:val="28"/>
          <w:szCs w:val="28"/>
        </w:rPr>
        <w:t>ENSAYO BIBLIOGRÁFICO</w:t>
      </w:r>
    </w:p>
    <w:p w14:paraId="4526410C" w14:textId="77777777" w:rsidR="0072522A" w:rsidRPr="00563870" w:rsidRDefault="0072522A" w:rsidP="00563870">
      <w:pPr>
        <w:jc w:val="right"/>
        <w:rPr>
          <w:rFonts w:ascii="Arial" w:hAnsi="Arial" w:cs="Arial"/>
          <w:sz w:val="22"/>
          <w:szCs w:val="22"/>
        </w:rPr>
      </w:pPr>
    </w:p>
    <w:p w14:paraId="679A3C9A" w14:textId="77777777" w:rsidR="0072522A" w:rsidRPr="00563870" w:rsidRDefault="0072522A" w:rsidP="00563870">
      <w:pPr>
        <w:jc w:val="both"/>
        <w:rPr>
          <w:rFonts w:ascii="Arial" w:hAnsi="Arial" w:cs="Arial"/>
          <w:sz w:val="22"/>
          <w:szCs w:val="22"/>
        </w:rPr>
      </w:pPr>
    </w:p>
    <w:p w14:paraId="2313D895" w14:textId="77777777" w:rsidR="0072522A" w:rsidRPr="00563870" w:rsidRDefault="0072522A" w:rsidP="00563870">
      <w:pPr>
        <w:jc w:val="both"/>
        <w:rPr>
          <w:rFonts w:ascii="Arial" w:hAnsi="Arial" w:cs="Arial"/>
          <w:sz w:val="22"/>
          <w:szCs w:val="22"/>
        </w:rPr>
      </w:pPr>
    </w:p>
    <w:p w14:paraId="6D196336" w14:textId="77777777" w:rsidR="00563870" w:rsidRDefault="00050A59" w:rsidP="00563870">
      <w:pPr>
        <w:spacing w:after="160"/>
        <w:jc w:val="both"/>
        <w:rPr>
          <w:rFonts w:ascii="Arial" w:hAnsi="Arial" w:cs="Arial"/>
          <w:sz w:val="22"/>
          <w:szCs w:val="22"/>
        </w:rPr>
      </w:pPr>
      <w:r w:rsidRPr="00563870">
        <w:rPr>
          <w:rFonts w:ascii="Arial" w:hAnsi="Arial" w:cs="Arial"/>
          <w:sz w:val="22"/>
          <w:szCs w:val="22"/>
        </w:rPr>
        <w:br w:type="page"/>
      </w:r>
    </w:p>
    <w:p w14:paraId="56680A11" w14:textId="6667BE2F" w:rsidR="00563870" w:rsidRPr="00563870" w:rsidRDefault="00563870" w:rsidP="005C33D6">
      <w:pPr>
        <w:spacing w:after="160"/>
        <w:jc w:val="center"/>
        <w:rPr>
          <w:rFonts w:ascii="Arial" w:hAnsi="Arial" w:cs="Arial"/>
          <w:b/>
          <w:bCs/>
          <w:sz w:val="22"/>
          <w:szCs w:val="22"/>
        </w:rPr>
      </w:pPr>
      <w:r w:rsidRPr="00563870">
        <w:rPr>
          <w:rFonts w:ascii="Arial" w:hAnsi="Arial" w:cs="Arial"/>
          <w:b/>
          <w:bCs/>
          <w:sz w:val="22"/>
          <w:szCs w:val="22"/>
        </w:rPr>
        <w:lastRenderedPageBreak/>
        <w:t>FICHA 1</w:t>
      </w:r>
    </w:p>
    <w:p w14:paraId="287CE7D7" w14:textId="77777777" w:rsidR="00563870" w:rsidRPr="00563870" w:rsidRDefault="00563870" w:rsidP="005C33D6">
      <w:pPr>
        <w:spacing w:after="160"/>
        <w:jc w:val="both"/>
        <w:rPr>
          <w:rFonts w:ascii="Arial" w:hAnsi="Arial" w:cs="Arial"/>
          <w:sz w:val="22"/>
          <w:szCs w:val="22"/>
        </w:rPr>
      </w:pPr>
    </w:p>
    <w:p w14:paraId="20BB8AB4" w14:textId="0200090E" w:rsidR="0072522A" w:rsidRPr="00563870" w:rsidRDefault="00670F1C" w:rsidP="005C33D6">
      <w:pPr>
        <w:spacing w:after="160"/>
        <w:jc w:val="center"/>
        <w:rPr>
          <w:rFonts w:ascii="Arial" w:hAnsi="Arial" w:cs="Arial"/>
          <w:b/>
          <w:bCs/>
          <w:sz w:val="22"/>
          <w:szCs w:val="22"/>
        </w:rPr>
      </w:pPr>
      <w:r w:rsidRPr="00563870">
        <w:rPr>
          <w:rFonts w:ascii="Arial" w:hAnsi="Arial" w:cs="Arial"/>
          <w:b/>
          <w:bCs/>
          <w:sz w:val="22"/>
          <w:szCs w:val="22"/>
        </w:rPr>
        <w:t>Cita formato APA</w:t>
      </w:r>
    </w:p>
    <w:p w14:paraId="31B7B7E1" w14:textId="1ED9C625" w:rsidR="002629D6" w:rsidRPr="00563870" w:rsidRDefault="00BF29ED" w:rsidP="005C33D6">
      <w:pPr>
        <w:spacing w:after="160"/>
        <w:jc w:val="both"/>
        <w:rPr>
          <w:rFonts w:ascii="Arial" w:hAnsi="Arial" w:cs="Arial"/>
          <w:sz w:val="22"/>
          <w:szCs w:val="22"/>
        </w:rPr>
      </w:pPr>
      <w:r w:rsidRPr="00563870">
        <w:rPr>
          <w:rFonts w:ascii="Arial" w:hAnsi="Arial" w:cs="Arial"/>
          <w:sz w:val="22"/>
          <w:szCs w:val="22"/>
        </w:rPr>
        <w:t>Jorquera Rossel, R. A. (2019). Músicas populares urbanas en ámbitos de la educación musical chilena: análisis de su inclusión y exclusión. Tesis doctoral, Universidad Autónoma de Barcelona.</w:t>
      </w:r>
      <w:r w:rsidR="002629D6" w:rsidRPr="00563870">
        <w:rPr>
          <w:rFonts w:ascii="Arial" w:hAnsi="Arial" w:cs="Arial"/>
          <w:sz w:val="22"/>
          <w:szCs w:val="22"/>
        </w:rPr>
        <w:t xml:space="preserve"> </w:t>
      </w:r>
      <w:hyperlink r:id="rId12" w:history="1">
        <w:r w:rsidR="002629D6" w:rsidRPr="00563870">
          <w:rPr>
            <w:rStyle w:val="Hipervnculo"/>
            <w:rFonts w:ascii="Arial" w:hAnsi="Arial" w:cs="Arial"/>
            <w:sz w:val="22"/>
            <w:szCs w:val="22"/>
          </w:rPr>
          <w:t>https://www.educacion.gob.es/teseo/imprimirFicheroTesis.do?idFichero=%2B8PDYnCkNkE%3D</w:t>
        </w:r>
      </w:hyperlink>
    </w:p>
    <w:p w14:paraId="15E01FEE" w14:textId="77777777" w:rsidR="002629D6" w:rsidRPr="00563870" w:rsidRDefault="002629D6" w:rsidP="005C33D6">
      <w:pPr>
        <w:spacing w:after="160"/>
        <w:jc w:val="center"/>
        <w:rPr>
          <w:rFonts w:ascii="Arial" w:hAnsi="Arial" w:cs="Arial"/>
          <w:sz w:val="22"/>
          <w:szCs w:val="22"/>
        </w:rPr>
      </w:pPr>
    </w:p>
    <w:p w14:paraId="4F86B21B" w14:textId="002C9030" w:rsidR="00670F1C" w:rsidRPr="00563870" w:rsidRDefault="00670F1C" w:rsidP="005C33D6">
      <w:pPr>
        <w:spacing w:after="160"/>
        <w:jc w:val="center"/>
        <w:rPr>
          <w:rFonts w:ascii="Arial" w:hAnsi="Arial" w:cs="Arial"/>
          <w:b/>
          <w:bCs/>
          <w:sz w:val="22"/>
          <w:szCs w:val="22"/>
        </w:rPr>
      </w:pPr>
      <w:r w:rsidRPr="00563870">
        <w:rPr>
          <w:rFonts w:ascii="Arial" w:hAnsi="Arial" w:cs="Arial"/>
          <w:b/>
          <w:bCs/>
          <w:sz w:val="22"/>
          <w:szCs w:val="22"/>
        </w:rPr>
        <w:t>Definición de conceptos principales</w:t>
      </w:r>
    </w:p>
    <w:p w14:paraId="26E44692" w14:textId="7EDD4BB1" w:rsidR="0043126D" w:rsidRPr="0043126D" w:rsidRDefault="0043126D" w:rsidP="005C33D6">
      <w:pPr>
        <w:numPr>
          <w:ilvl w:val="0"/>
          <w:numId w:val="11"/>
        </w:numPr>
        <w:spacing w:before="100" w:beforeAutospacing="1" w:after="100" w:afterAutospacing="1"/>
        <w:jc w:val="both"/>
        <w:rPr>
          <w:rFonts w:ascii="Arial" w:hAnsi="Arial" w:cs="Arial"/>
          <w:sz w:val="22"/>
          <w:szCs w:val="22"/>
          <w:lang w:val="es-ES" w:eastAsia="es-ES"/>
        </w:rPr>
      </w:pPr>
      <w:r w:rsidRPr="0043126D">
        <w:rPr>
          <w:rFonts w:ascii="Arial" w:hAnsi="Arial" w:cs="Arial"/>
          <w:b/>
          <w:bCs/>
          <w:sz w:val="22"/>
          <w:szCs w:val="22"/>
          <w:lang w:val="es-ES" w:eastAsia="es-ES"/>
        </w:rPr>
        <w:t>Músicas Populares Urbanas (MPU):</w:t>
      </w:r>
      <w:r w:rsidRPr="0043126D">
        <w:rPr>
          <w:rFonts w:ascii="Arial" w:hAnsi="Arial" w:cs="Arial"/>
          <w:sz w:val="22"/>
          <w:szCs w:val="22"/>
          <w:lang w:val="es-ES" w:eastAsia="es-ES"/>
        </w:rPr>
        <w:t xml:space="preserve"> Las MPU se definen como aquellas músicas que circulan en la vida cotidiana de los jóvenes, mediadas por la tecnología y la industria cultural. Se caracterizan por su amplia difusión, influencia mediática y capacidad para conectar con las identidades juveniles. Ejemplos como el reggaetón, el </w:t>
      </w:r>
      <w:proofErr w:type="spellStart"/>
      <w:r w:rsidRPr="0043126D">
        <w:rPr>
          <w:rFonts w:ascii="Arial" w:hAnsi="Arial" w:cs="Arial"/>
          <w:sz w:val="22"/>
          <w:szCs w:val="22"/>
          <w:lang w:val="es-ES" w:eastAsia="es-ES"/>
        </w:rPr>
        <w:t>trap</w:t>
      </w:r>
      <w:proofErr w:type="spellEnd"/>
      <w:r w:rsidRPr="0043126D">
        <w:rPr>
          <w:rFonts w:ascii="Arial" w:hAnsi="Arial" w:cs="Arial"/>
          <w:sz w:val="22"/>
          <w:szCs w:val="22"/>
          <w:lang w:val="es-ES" w:eastAsia="es-ES"/>
        </w:rPr>
        <w:t xml:space="preserve"> y el pop son géneros centrales en las preferencias musicales de las nuevas generaciones, pero históricamente han sido marginados en el sistema educativo formal chileno.</w:t>
      </w:r>
    </w:p>
    <w:p w14:paraId="12B12E62" w14:textId="48DD2AE8" w:rsidR="0043126D" w:rsidRPr="0043126D" w:rsidRDefault="0043126D" w:rsidP="005C33D6">
      <w:pPr>
        <w:numPr>
          <w:ilvl w:val="0"/>
          <w:numId w:val="11"/>
        </w:numPr>
        <w:spacing w:before="100" w:beforeAutospacing="1" w:after="100" w:afterAutospacing="1"/>
        <w:jc w:val="both"/>
        <w:rPr>
          <w:rFonts w:ascii="Arial" w:hAnsi="Arial" w:cs="Arial"/>
          <w:sz w:val="22"/>
          <w:szCs w:val="22"/>
          <w:lang w:val="es-ES" w:eastAsia="es-ES"/>
        </w:rPr>
      </w:pPr>
      <w:r w:rsidRPr="0043126D">
        <w:rPr>
          <w:rFonts w:ascii="Arial" w:hAnsi="Arial" w:cs="Arial"/>
          <w:b/>
          <w:bCs/>
          <w:sz w:val="22"/>
          <w:szCs w:val="22"/>
          <w:lang w:val="es-ES" w:eastAsia="es-ES"/>
        </w:rPr>
        <w:t>Paradigma estético-formalista:</w:t>
      </w:r>
      <w:r w:rsidRPr="0043126D">
        <w:rPr>
          <w:rFonts w:ascii="Arial" w:hAnsi="Arial" w:cs="Arial"/>
          <w:sz w:val="22"/>
          <w:szCs w:val="22"/>
          <w:lang w:val="es-ES" w:eastAsia="es-ES"/>
        </w:rPr>
        <w:t xml:space="preserve"> Este paradigma, dominante en la enseñanza musical en Chile, establece una jerarquía cultural que privilegia la música académica, clásica y escrita por sobre las músicas populares orales. El enfoque estético-formalista se ha perpetuado en los currículos educativos y en la formación docente, limitando la inclusión de las MPU y reforzando una visión elitista de la música.</w:t>
      </w:r>
    </w:p>
    <w:p w14:paraId="74A08BFE" w14:textId="46066A36" w:rsidR="0043126D" w:rsidRPr="0043126D" w:rsidRDefault="0043126D" w:rsidP="005C33D6">
      <w:pPr>
        <w:numPr>
          <w:ilvl w:val="0"/>
          <w:numId w:val="11"/>
        </w:numPr>
        <w:spacing w:before="100" w:beforeAutospacing="1" w:after="100" w:afterAutospacing="1"/>
        <w:jc w:val="both"/>
        <w:rPr>
          <w:rFonts w:ascii="Arial" w:hAnsi="Arial" w:cs="Arial"/>
          <w:sz w:val="22"/>
          <w:szCs w:val="22"/>
          <w:lang w:val="es-ES" w:eastAsia="es-ES"/>
        </w:rPr>
      </w:pPr>
      <w:commentRangeStart w:id="1"/>
      <w:r w:rsidRPr="0043126D">
        <w:rPr>
          <w:rFonts w:ascii="Arial" w:hAnsi="Arial" w:cs="Arial"/>
          <w:b/>
          <w:bCs/>
          <w:sz w:val="22"/>
          <w:szCs w:val="22"/>
          <w:lang w:val="es-ES" w:eastAsia="es-ES"/>
        </w:rPr>
        <w:t>Crítica de Theodor Adorno:</w:t>
      </w:r>
      <w:r w:rsidRPr="0043126D">
        <w:rPr>
          <w:rFonts w:ascii="Arial" w:hAnsi="Arial" w:cs="Arial"/>
          <w:sz w:val="22"/>
          <w:szCs w:val="22"/>
          <w:lang w:val="es-ES" w:eastAsia="es-ES"/>
        </w:rPr>
        <w:t xml:space="preserve"> Uno de los teóricos que más influyó en las posiciones de rechazo hacia las MPU fue el filósofo alemán Theodor Adorno. Desde una perspectiva </w:t>
      </w:r>
      <w:proofErr w:type="spellStart"/>
      <w:r w:rsidRPr="0043126D">
        <w:rPr>
          <w:rFonts w:ascii="Arial" w:hAnsi="Arial" w:cs="Arial"/>
          <w:sz w:val="22"/>
          <w:szCs w:val="22"/>
          <w:lang w:val="es-ES" w:eastAsia="es-ES"/>
        </w:rPr>
        <w:t>neo-marxista</w:t>
      </w:r>
      <w:proofErr w:type="spellEnd"/>
      <w:r w:rsidRPr="0043126D">
        <w:rPr>
          <w:rFonts w:ascii="Arial" w:hAnsi="Arial" w:cs="Arial"/>
          <w:sz w:val="22"/>
          <w:szCs w:val="22"/>
          <w:lang w:val="es-ES" w:eastAsia="es-ES"/>
        </w:rPr>
        <w:t>, Adorno criticó la expansión de lo que llamó “música ligera”, asociándola con la industria cultural y la estandarización del gusto musical. Para Adorno, la música popular no tenía el valor estético de la música clásica, defendiendo la supremacía de lo que él denominaba “música superior”. Esta crítica ha tenido un impacto duradero en los enfoques educativos que continúan marginando las MPU en favor de la música clásica.</w:t>
      </w:r>
      <w:commentRangeEnd w:id="1"/>
      <w:r w:rsidR="005D485D">
        <w:rPr>
          <w:rStyle w:val="Refdecomentario"/>
        </w:rPr>
        <w:commentReference w:id="1"/>
      </w:r>
    </w:p>
    <w:p w14:paraId="002AB334" w14:textId="011D1231" w:rsidR="00ED3BA8" w:rsidRPr="00563870" w:rsidRDefault="0043126D" w:rsidP="005C33D6">
      <w:pPr>
        <w:numPr>
          <w:ilvl w:val="0"/>
          <w:numId w:val="11"/>
        </w:numPr>
        <w:spacing w:before="100" w:beforeAutospacing="1" w:after="100" w:afterAutospacing="1"/>
        <w:jc w:val="both"/>
        <w:rPr>
          <w:rFonts w:ascii="Arial" w:hAnsi="Arial" w:cs="Arial"/>
          <w:sz w:val="22"/>
          <w:szCs w:val="22"/>
          <w:lang w:val="es-ES" w:eastAsia="es-ES"/>
        </w:rPr>
      </w:pPr>
      <w:r w:rsidRPr="0043126D">
        <w:rPr>
          <w:rFonts w:ascii="Arial" w:hAnsi="Arial" w:cs="Arial"/>
          <w:b/>
          <w:bCs/>
          <w:sz w:val="22"/>
          <w:szCs w:val="22"/>
          <w:lang w:val="es-ES" w:eastAsia="es-ES"/>
        </w:rPr>
        <w:t>Referentes juveniles:</w:t>
      </w:r>
      <w:r w:rsidRPr="0043126D">
        <w:rPr>
          <w:rFonts w:ascii="Arial" w:hAnsi="Arial" w:cs="Arial"/>
          <w:sz w:val="22"/>
          <w:szCs w:val="22"/>
          <w:lang w:val="es-ES" w:eastAsia="es-ES"/>
        </w:rPr>
        <w:t xml:space="preserve"> En la construcción de significados musicales, los jóvenes emplean “referentes semánticos de origen cultural” (</w:t>
      </w:r>
      <w:proofErr w:type="spellStart"/>
      <w:r w:rsidRPr="0043126D">
        <w:rPr>
          <w:rFonts w:ascii="Arial" w:hAnsi="Arial" w:cs="Arial"/>
          <w:sz w:val="22"/>
          <w:szCs w:val="22"/>
          <w:lang w:val="es-ES" w:eastAsia="es-ES"/>
        </w:rPr>
        <w:t>Céspedes</w:t>
      </w:r>
      <w:proofErr w:type="spellEnd"/>
      <w:r w:rsidRPr="0043126D">
        <w:rPr>
          <w:rFonts w:ascii="Arial" w:hAnsi="Arial" w:cs="Arial"/>
          <w:sz w:val="22"/>
          <w:szCs w:val="22"/>
          <w:lang w:val="es-ES" w:eastAsia="es-ES"/>
        </w:rPr>
        <w:t>, 2010). Estos referentes se vinculan no solo a las características musicales, sino también al contexto audiovisual, las relaciones sociales con sus pares y los medios de comunicación. Los jóvenes tienden a distinguir entre las músicas que consideran “vivas” (contemporáneas y cercanas a su cultura) y las que asocian con el pasado, como la música clásica, que muchas veces es percibida como algo distante y ajeno al contexto social juvenil (</w:t>
      </w:r>
      <w:proofErr w:type="spellStart"/>
      <w:r w:rsidRPr="0043126D">
        <w:rPr>
          <w:rFonts w:ascii="Arial" w:hAnsi="Arial" w:cs="Arial"/>
          <w:sz w:val="22"/>
          <w:szCs w:val="22"/>
          <w:lang w:val="es-ES" w:eastAsia="es-ES"/>
        </w:rPr>
        <w:t>Froehlich</w:t>
      </w:r>
      <w:proofErr w:type="spellEnd"/>
      <w:r w:rsidRPr="0043126D">
        <w:rPr>
          <w:rFonts w:ascii="Arial" w:hAnsi="Arial" w:cs="Arial"/>
          <w:sz w:val="22"/>
          <w:szCs w:val="22"/>
          <w:lang w:val="es-ES" w:eastAsia="es-ES"/>
        </w:rPr>
        <w:t>, 2011). Esta distancia entre las músicas populares y las enseñadas en el ámbito escolar puede provocar actitudes negativas hacia la educación musical, que pueden perdurar hasta la adultez y afectar la percepción general sobre la educación musical (</w:t>
      </w:r>
      <w:proofErr w:type="spellStart"/>
      <w:r w:rsidRPr="0043126D">
        <w:rPr>
          <w:rFonts w:ascii="Arial" w:hAnsi="Arial" w:cs="Arial"/>
          <w:sz w:val="22"/>
          <w:szCs w:val="22"/>
          <w:lang w:val="es-ES" w:eastAsia="es-ES"/>
        </w:rPr>
        <w:t>Regelski</w:t>
      </w:r>
      <w:proofErr w:type="spellEnd"/>
      <w:r w:rsidRPr="0043126D">
        <w:rPr>
          <w:rFonts w:ascii="Arial" w:hAnsi="Arial" w:cs="Arial"/>
          <w:sz w:val="22"/>
          <w:szCs w:val="22"/>
          <w:lang w:val="es-ES" w:eastAsia="es-ES"/>
        </w:rPr>
        <w:t>, 2009).</w:t>
      </w:r>
    </w:p>
    <w:p w14:paraId="18705040" w14:textId="026E8893" w:rsidR="00670F1C" w:rsidRPr="00563870" w:rsidRDefault="00670F1C" w:rsidP="005C33D6">
      <w:pPr>
        <w:spacing w:after="160"/>
        <w:jc w:val="center"/>
        <w:rPr>
          <w:rFonts w:ascii="Arial" w:hAnsi="Arial" w:cs="Arial"/>
          <w:b/>
          <w:bCs/>
          <w:sz w:val="22"/>
          <w:szCs w:val="22"/>
        </w:rPr>
      </w:pPr>
      <w:r w:rsidRPr="00563870">
        <w:rPr>
          <w:rFonts w:ascii="Arial" w:hAnsi="Arial" w:cs="Arial"/>
          <w:b/>
          <w:bCs/>
          <w:sz w:val="22"/>
          <w:szCs w:val="22"/>
        </w:rPr>
        <w:t>Forma de operacionalización</w:t>
      </w:r>
    </w:p>
    <w:p w14:paraId="46E16393" w14:textId="02B57F93" w:rsidR="000B33FD" w:rsidRPr="000B33FD" w:rsidRDefault="000B33FD" w:rsidP="005C33D6">
      <w:pPr>
        <w:numPr>
          <w:ilvl w:val="0"/>
          <w:numId w:val="12"/>
        </w:numPr>
        <w:spacing w:before="100" w:beforeAutospacing="1" w:after="100" w:afterAutospacing="1"/>
        <w:jc w:val="both"/>
        <w:rPr>
          <w:rFonts w:ascii="Arial" w:hAnsi="Arial" w:cs="Arial"/>
          <w:sz w:val="22"/>
          <w:szCs w:val="22"/>
          <w:lang w:val="es-ES" w:eastAsia="es-ES"/>
        </w:rPr>
      </w:pPr>
      <w:r w:rsidRPr="000B33FD">
        <w:rPr>
          <w:rFonts w:ascii="Arial" w:hAnsi="Arial" w:cs="Arial"/>
          <w:sz w:val="22"/>
          <w:szCs w:val="22"/>
          <w:lang w:val="es-ES" w:eastAsia="es-ES"/>
        </w:rPr>
        <w:t>La investigación busca analizar cómo las MPU son incluidas o excluidas del sistema educativo formal chileno. Para ello, se estructura en cuatro partes clave:</w:t>
      </w:r>
    </w:p>
    <w:p w14:paraId="4BCE6581" w14:textId="77777777" w:rsidR="000B33FD" w:rsidRPr="000B33FD" w:rsidRDefault="000B33FD" w:rsidP="005C33D6">
      <w:pPr>
        <w:numPr>
          <w:ilvl w:val="1"/>
          <w:numId w:val="12"/>
        </w:numPr>
        <w:spacing w:before="240" w:after="100" w:afterAutospacing="1"/>
        <w:jc w:val="both"/>
        <w:rPr>
          <w:rFonts w:ascii="Arial" w:hAnsi="Arial" w:cs="Arial"/>
          <w:sz w:val="22"/>
          <w:szCs w:val="22"/>
          <w:lang w:val="es-ES" w:eastAsia="es-ES"/>
        </w:rPr>
      </w:pPr>
      <w:r w:rsidRPr="000B33FD">
        <w:rPr>
          <w:rFonts w:ascii="Arial" w:hAnsi="Arial" w:cs="Arial"/>
          <w:sz w:val="22"/>
          <w:szCs w:val="22"/>
          <w:lang w:val="es-ES" w:eastAsia="es-ES"/>
        </w:rPr>
        <w:lastRenderedPageBreak/>
        <w:t>Se explora la relación entre las MPU y la educación musical, definiendo criterios para establecer una definición operacional de MPU dentro del contexto metodológico.</w:t>
      </w:r>
    </w:p>
    <w:p w14:paraId="4818F176" w14:textId="77777777" w:rsidR="000B33FD" w:rsidRPr="000B33FD" w:rsidRDefault="000B33FD" w:rsidP="005C33D6">
      <w:pPr>
        <w:numPr>
          <w:ilvl w:val="1"/>
          <w:numId w:val="12"/>
        </w:numPr>
        <w:spacing w:before="100" w:beforeAutospacing="1" w:after="100" w:afterAutospacing="1"/>
        <w:jc w:val="both"/>
        <w:rPr>
          <w:rFonts w:ascii="Arial" w:hAnsi="Arial" w:cs="Arial"/>
          <w:sz w:val="22"/>
          <w:szCs w:val="22"/>
          <w:lang w:val="es-ES" w:eastAsia="es-ES"/>
        </w:rPr>
      </w:pPr>
      <w:r w:rsidRPr="000B33FD">
        <w:rPr>
          <w:rFonts w:ascii="Arial" w:hAnsi="Arial" w:cs="Arial"/>
          <w:sz w:val="22"/>
          <w:szCs w:val="22"/>
          <w:lang w:val="es-ES" w:eastAsia="es-ES"/>
        </w:rPr>
        <w:t>Se presentan las hegemonías predominantes que han influido en la exclusión de las MPU, especialmente los modelos y enfoques educativos que favorecen la música académica.</w:t>
      </w:r>
    </w:p>
    <w:p w14:paraId="7FF40F69" w14:textId="77777777" w:rsidR="000B33FD" w:rsidRPr="000B33FD" w:rsidRDefault="000B33FD" w:rsidP="005C33D6">
      <w:pPr>
        <w:numPr>
          <w:ilvl w:val="1"/>
          <w:numId w:val="12"/>
        </w:numPr>
        <w:spacing w:before="100" w:beforeAutospacing="1" w:after="100" w:afterAutospacing="1"/>
        <w:jc w:val="both"/>
        <w:rPr>
          <w:rFonts w:ascii="Arial" w:hAnsi="Arial" w:cs="Arial"/>
          <w:sz w:val="22"/>
          <w:szCs w:val="22"/>
          <w:lang w:val="es-ES" w:eastAsia="es-ES"/>
        </w:rPr>
      </w:pPr>
      <w:r w:rsidRPr="000B33FD">
        <w:rPr>
          <w:rFonts w:ascii="Arial" w:hAnsi="Arial" w:cs="Arial"/>
          <w:sz w:val="22"/>
          <w:szCs w:val="22"/>
          <w:lang w:val="es-ES" w:eastAsia="es-ES"/>
        </w:rPr>
        <w:t>Se revisan los referentes teóricos que proponen una mayor inclusión de las MPU en la educación musical, especialmente aquellos que abogan por una mayor contextualización y relevancia de estas músicas en el aula.</w:t>
      </w:r>
    </w:p>
    <w:p w14:paraId="51001D4A" w14:textId="77777777" w:rsidR="000B33FD" w:rsidRPr="000B33FD" w:rsidRDefault="000B33FD" w:rsidP="005C33D6">
      <w:pPr>
        <w:numPr>
          <w:ilvl w:val="1"/>
          <w:numId w:val="12"/>
        </w:numPr>
        <w:spacing w:before="100" w:beforeAutospacing="1" w:after="100" w:afterAutospacing="1"/>
        <w:jc w:val="both"/>
        <w:rPr>
          <w:rFonts w:ascii="Arial" w:hAnsi="Arial" w:cs="Arial"/>
          <w:sz w:val="22"/>
          <w:szCs w:val="22"/>
          <w:lang w:val="es-ES" w:eastAsia="es-ES"/>
        </w:rPr>
      </w:pPr>
      <w:r w:rsidRPr="000B33FD">
        <w:rPr>
          <w:rFonts w:ascii="Arial" w:hAnsi="Arial" w:cs="Arial"/>
          <w:sz w:val="22"/>
          <w:szCs w:val="22"/>
          <w:lang w:val="es-ES" w:eastAsia="es-ES"/>
        </w:rPr>
        <w:t>Finalmente, se delimita el contexto de la educación musical chilena, centrando el análisis en tres ámbitos: el profesorado de música, el currículum nacional del Ministerio de Educación (MINEDUC) y las carreras universitarias de formación docente en música.</w:t>
      </w:r>
    </w:p>
    <w:p w14:paraId="35C6E3D4" w14:textId="77777777" w:rsidR="00670F1C" w:rsidRPr="00563870" w:rsidRDefault="00670F1C" w:rsidP="005C33D6">
      <w:pPr>
        <w:spacing w:after="160"/>
        <w:jc w:val="both"/>
        <w:rPr>
          <w:rFonts w:ascii="Arial" w:hAnsi="Arial" w:cs="Arial"/>
          <w:b/>
          <w:bCs/>
          <w:sz w:val="22"/>
          <w:szCs w:val="22"/>
        </w:rPr>
      </w:pPr>
    </w:p>
    <w:p w14:paraId="0A7A6486" w14:textId="0B499A39" w:rsidR="00563870" w:rsidRPr="00563870" w:rsidRDefault="00670F1C" w:rsidP="005C33D6">
      <w:pPr>
        <w:spacing w:after="160"/>
        <w:jc w:val="center"/>
        <w:rPr>
          <w:rFonts w:ascii="Arial" w:hAnsi="Arial" w:cs="Arial"/>
          <w:b/>
          <w:bCs/>
          <w:sz w:val="22"/>
          <w:szCs w:val="22"/>
        </w:rPr>
      </w:pPr>
      <w:r w:rsidRPr="00563870">
        <w:rPr>
          <w:rFonts w:ascii="Arial" w:hAnsi="Arial" w:cs="Arial"/>
          <w:b/>
          <w:bCs/>
          <w:sz w:val="22"/>
          <w:szCs w:val="22"/>
        </w:rPr>
        <w:t>Metodologí</w:t>
      </w:r>
      <w:r w:rsidR="00563870" w:rsidRPr="00563870">
        <w:rPr>
          <w:rFonts w:ascii="Arial" w:hAnsi="Arial" w:cs="Arial"/>
          <w:b/>
          <w:bCs/>
          <w:sz w:val="22"/>
          <w:szCs w:val="22"/>
        </w:rPr>
        <w:t>a:</w:t>
      </w:r>
    </w:p>
    <w:p w14:paraId="106A1547" w14:textId="77777777" w:rsidR="00563870" w:rsidRPr="00563870" w:rsidRDefault="00563870" w:rsidP="005C33D6">
      <w:pPr>
        <w:numPr>
          <w:ilvl w:val="0"/>
          <w:numId w:val="14"/>
        </w:numPr>
        <w:spacing w:before="100" w:beforeAutospacing="1" w:after="100" w:afterAutospacing="1"/>
        <w:jc w:val="both"/>
        <w:rPr>
          <w:rFonts w:ascii="Arial" w:hAnsi="Arial" w:cs="Arial"/>
          <w:sz w:val="22"/>
          <w:szCs w:val="22"/>
          <w:lang w:val="es-ES" w:eastAsia="es-ES"/>
        </w:rPr>
      </w:pPr>
      <w:r w:rsidRPr="00563870">
        <w:rPr>
          <w:rFonts w:ascii="Arial" w:hAnsi="Arial" w:cs="Arial"/>
          <w:b/>
          <w:bCs/>
          <w:sz w:val="22"/>
          <w:szCs w:val="22"/>
          <w:lang w:val="es-ES" w:eastAsia="es-ES"/>
        </w:rPr>
        <w:t>Tipo de estudio:</w:t>
      </w:r>
      <w:r w:rsidRPr="00563870">
        <w:rPr>
          <w:rFonts w:ascii="Arial" w:hAnsi="Arial" w:cs="Arial"/>
          <w:sz w:val="22"/>
          <w:szCs w:val="22"/>
          <w:lang w:val="es-ES" w:eastAsia="es-ES"/>
        </w:rPr>
        <w:t xml:space="preserve"> I</w:t>
      </w:r>
      <w:r w:rsidRPr="005D485D">
        <w:rPr>
          <w:rFonts w:ascii="Arial" w:hAnsi="Arial" w:cs="Arial"/>
          <w:sz w:val="22"/>
          <w:szCs w:val="22"/>
          <w:highlight w:val="yellow"/>
          <w:lang w:val="es-ES" w:eastAsia="es-ES"/>
        </w:rPr>
        <w:t>nvestigación cualitativa</w:t>
      </w:r>
      <w:r w:rsidRPr="00563870">
        <w:rPr>
          <w:rFonts w:ascii="Arial" w:hAnsi="Arial" w:cs="Arial"/>
          <w:sz w:val="22"/>
          <w:szCs w:val="22"/>
          <w:lang w:val="es-ES" w:eastAsia="es-ES"/>
        </w:rPr>
        <w:t xml:space="preserve"> con un enfoque crítico.</w:t>
      </w:r>
    </w:p>
    <w:p w14:paraId="50BEFE6A" w14:textId="77777777" w:rsidR="00563870" w:rsidRPr="00563870" w:rsidRDefault="00563870" w:rsidP="005C33D6">
      <w:pPr>
        <w:numPr>
          <w:ilvl w:val="0"/>
          <w:numId w:val="14"/>
        </w:numPr>
        <w:spacing w:before="100" w:beforeAutospacing="1" w:after="100" w:afterAutospacing="1"/>
        <w:jc w:val="both"/>
        <w:rPr>
          <w:rFonts w:ascii="Arial" w:hAnsi="Arial" w:cs="Arial"/>
          <w:sz w:val="22"/>
          <w:szCs w:val="22"/>
          <w:lang w:val="es-ES" w:eastAsia="es-ES"/>
        </w:rPr>
      </w:pPr>
      <w:r w:rsidRPr="00563870">
        <w:rPr>
          <w:rFonts w:ascii="Arial" w:hAnsi="Arial" w:cs="Arial"/>
          <w:b/>
          <w:bCs/>
          <w:sz w:val="22"/>
          <w:szCs w:val="22"/>
          <w:lang w:val="es-ES" w:eastAsia="es-ES"/>
        </w:rPr>
        <w:t>Muestra:</w:t>
      </w:r>
      <w:r w:rsidRPr="00563870">
        <w:rPr>
          <w:rFonts w:ascii="Arial" w:hAnsi="Arial" w:cs="Arial"/>
          <w:sz w:val="22"/>
          <w:szCs w:val="22"/>
          <w:lang w:val="es-ES" w:eastAsia="es-ES"/>
        </w:rPr>
        <w:t xml:space="preserve"> Se realizaron </w:t>
      </w:r>
      <w:r w:rsidRPr="005D485D">
        <w:rPr>
          <w:rFonts w:ascii="Arial" w:hAnsi="Arial" w:cs="Arial"/>
          <w:sz w:val="22"/>
          <w:szCs w:val="22"/>
          <w:highlight w:val="yellow"/>
          <w:lang w:val="es-ES" w:eastAsia="es-ES"/>
        </w:rPr>
        <w:t>encuestas a 129</w:t>
      </w:r>
      <w:r w:rsidRPr="00563870">
        <w:rPr>
          <w:rFonts w:ascii="Arial" w:hAnsi="Arial" w:cs="Arial"/>
          <w:sz w:val="22"/>
          <w:szCs w:val="22"/>
          <w:lang w:val="es-ES" w:eastAsia="es-ES"/>
        </w:rPr>
        <w:t xml:space="preserve"> docentes de música a nivel nacional, complementadas con entrevistas semiestructuradas a seis de esos </w:t>
      </w:r>
      <w:commentRangeStart w:id="2"/>
      <w:r w:rsidRPr="00563870">
        <w:rPr>
          <w:rFonts w:ascii="Arial" w:hAnsi="Arial" w:cs="Arial"/>
          <w:sz w:val="22"/>
          <w:szCs w:val="22"/>
          <w:lang w:val="es-ES" w:eastAsia="es-ES"/>
        </w:rPr>
        <w:t>docentes</w:t>
      </w:r>
      <w:commentRangeEnd w:id="2"/>
      <w:r w:rsidR="005D485D">
        <w:rPr>
          <w:rStyle w:val="Refdecomentario"/>
        </w:rPr>
        <w:commentReference w:id="2"/>
      </w:r>
      <w:r w:rsidRPr="00563870">
        <w:rPr>
          <w:rFonts w:ascii="Arial" w:hAnsi="Arial" w:cs="Arial"/>
          <w:sz w:val="22"/>
          <w:szCs w:val="22"/>
          <w:lang w:val="es-ES" w:eastAsia="es-ES"/>
        </w:rPr>
        <w:t>.</w:t>
      </w:r>
    </w:p>
    <w:p w14:paraId="4A32F622" w14:textId="77777777" w:rsidR="00563870" w:rsidRPr="00563870" w:rsidRDefault="00563870" w:rsidP="005C33D6">
      <w:pPr>
        <w:numPr>
          <w:ilvl w:val="0"/>
          <w:numId w:val="14"/>
        </w:numPr>
        <w:spacing w:before="100" w:beforeAutospacing="1" w:after="100" w:afterAutospacing="1"/>
        <w:jc w:val="both"/>
        <w:rPr>
          <w:rFonts w:ascii="Arial" w:hAnsi="Arial" w:cs="Arial"/>
          <w:sz w:val="22"/>
          <w:szCs w:val="22"/>
          <w:lang w:val="es-ES" w:eastAsia="es-ES"/>
        </w:rPr>
      </w:pPr>
      <w:r w:rsidRPr="00563870">
        <w:rPr>
          <w:rFonts w:ascii="Arial" w:hAnsi="Arial" w:cs="Arial"/>
          <w:b/>
          <w:bCs/>
          <w:sz w:val="22"/>
          <w:szCs w:val="22"/>
          <w:lang w:val="es-ES" w:eastAsia="es-ES"/>
        </w:rPr>
        <w:t>Ámbitos de análisis:</w:t>
      </w:r>
      <w:r w:rsidRPr="00563870">
        <w:rPr>
          <w:rFonts w:ascii="Arial" w:hAnsi="Arial" w:cs="Arial"/>
          <w:sz w:val="22"/>
          <w:szCs w:val="22"/>
          <w:lang w:val="es-ES" w:eastAsia="es-ES"/>
        </w:rPr>
        <w:t xml:space="preserve"> El estudio se centró en tres grandes áreas: los profesores de educación musical, el currículum del MINEDUC y las carreras universitarias de formación docente en música.</w:t>
      </w:r>
    </w:p>
    <w:p w14:paraId="20195716" w14:textId="77777777" w:rsidR="00563870" w:rsidRPr="00563870" w:rsidRDefault="00563870" w:rsidP="005C33D6">
      <w:pPr>
        <w:numPr>
          <w:ilvl w:val="1"/>
          <w:numId w:val="14"/>
        </w:numPr>
        <w:spacing w:before="100" w:beforeAutospacing="1" w:after="100" w:afterAutospacing="1"/>
        <w:jc w:val="both"/>
        <w:rPr>
          <w:rFonts w:ascii="Arial" w:hAnsi="Arial" w:cs="Arial"/>
          <w:sz w:val="22"/>
          <w:szCs w:val="22"/>
          <w:lang w:val="es-ES" w:eastAsia="es-ES"/>
        </w:rPr>
      </w:pPr>
      <w:r w:rsidRPr="00563870">
        <w:rPr>
          <w:rFonts w:ascii="Arial" w:hAnsi="Arial" w:cs="Arial"/>
          <w:b/>
          <w:bCs/>
          <w:sz w:val="22"/>
          <w:szCs w:val="22"/>
          <w:lang w:val="es-ES" w:eastAsia="es-ES"/>
        </w:rPr>
        <w:t>Encuestas a docentes:</w:t>
      </w:r>
      <w:r w:rsidRPr="00563870">
        <w:rPr>
          <w:rFonts w:ascii="Arial" w:hAnsi="Arial" w:cs="Arial"/>
          <w:sz w:val="22"/>
          <w:szCs w:val="22"/>
          <w:lang w:val="es-ES" w:eastAsia="es-ES"/>
        </w:rPr>
        <w:t xml:space="preserve"> La encuesta fue respondida por docentes de todas las regiones de Chile, mayoritariamente con más de seis años de experiencia en el aula y que imparten clases en ciclos de primaria y secundaria. El 96% de los docentes trabaja en áreas urbanas, lo que refleja la urbanización de la práctica educativa en música.</w:t>
      </w:r>
    </w:p>
    <w:p w14:paraId="65C53752" w14:textId="77777777" w:rsidR="00563870" w:rsidRDefault="00563870" w:rsidP="005C33D6">
      <w:pPr>
        <w:numPr>
          <w:ilvl w:val="1"/>
          <w:numId w:val="14"/>
        </w:numPr>
        <w:spacing w:before="100" w:beforeAutospacing="1" w:after="100" w:afterAutospacing="1"/>
        <w:jc w:val="both"/>
        <w:rPr>
          <w:rFonts w:ascii="Arial" w:hAnsi="Arial" w:cs="Arial"/>
          <w:sz w:val="22"/>
          <w:szCs w:val="22"/>
          <w:lang w:val="es-ES" w:eastAsia="es-ES"/>
        </w:rPr>
      </w:pPr>
      <w:r w:rsidRPr="00563870">
        <w:rPr>
          <w:rFonts w:ascii="Arial" w:hAnsi="Arial" w:cs="Arial"/>
          <w:b/>
          <w:bCs/>
          <w:sz w:val="22"/>
          <w:szCs w:val="22"/>
          <w:lang w:val="es-ES" w:eastAsia="es-ES"/>
        </w:rPr>
        <w:t>Entrevistas:</w:t>
      </w:r>
      <w:r w:rsidRPr="00563870">
        <w:rPr>
          <w:rFonts w:ascii="Arial" w:hAnsi="Arial" w:cs="Arial"/>
          <w:sz w:val="22"/>
          <w:szCs w:val="22"/>
          <w:lang w:val="es-ES" w:eastAsia="es-ES"/>
        </w:rPr>
        <w:t xml:space="preserve"> Las entrevistas semiestructuradas profundizaron en la percepción de los docentes sobre las MPU, su inclusión en el currículum y las barreras para su implementación. Además, se exploró la percepción de los docentes respecto a las innovaciones curriculares del MINEDUC.</w:t>
      </w:r>
    </w:p>
    <w:p w14:paraId="3A788650" w14:textId="77777777" w:rsidR="00563870" w:rsidRPr="00563870" w:rsidRDefault="00563870" w:rsidP="005C33D6">
      <w:pPr>
        <w:spacing w:before="100" w:beforeAutospacing="1" w:after="100" w:afterAutospacing="1"/>
        <w:jc w:val="both"/>
        <w:rPr>
          <w:rFonts w:ascii="Arial" w:hAnsi="Arial" w:cs="Arial"/>
          <w:sz w:val="22"/>
          <w:szCs w:val="22"/>
          <w:lang w:val="es-ES" w:eastAsia="es-ES"/>
        </w:rPr>
      </w:pPr>
    </w:p>
    <w:p w14:paraId="32E2C817" w14:textId="59E828F8" w:rsidR="00563870" w:rsidRPr="00563870" w:rsidRDefault="00670F1C" w:rsidP="005C33D6">
      <w:pPr>
        <w:spacing w:before="100" w:beforeAutospacing="1" w:after="100" w:afterAutospacing="1"/>
        <w:jc w:val="center"/>
        <w:rPr>
          <w:rFonts w:ascii="Arial" w:hAnsi="Arial" w:cs="Arial"/>
          <w:sz w:val="22"/>
          <w:szCs w:val="22"/>
          <w:lang w:val="es-ES" w:eastAsia="es-ES"/>
        </w:rPr>
      </w:pPr>
      <w:r w:rsidRPr="00563870">
        <w:rPr>
          <w:rFonts w:ascii="Arial" w:hAnsi="Arial" w:cs="Arial"/>
          <w:b/>
          <w:bCs/>
          <w:sz w:val="22"/>
          <w:szCs w:val="22"/>
        </w:rPr>
        <w:t>Síntesis de lo más destacado</w:t>
      </w:r>
    </w:p>
    <w:p w14:paraId="04FC2AC5" w14:textId="77777777" w:rsidR="00563870" w:rsidRDefault="00563870" w:rsidP="005C33D6">
      <w:pPr>
        <w:pStyle w:val="NormalWeb"/>
        <w:jc w:val="both"/>
        <w:rPr>
          <w:rFonts w:ascii="Arial" w:hAnsi="Arial" w:cs="Arial"/>
          <w:sz w:val="22"/>
          <w:szCs w:val="22"/>
        </w:rPr>
      </w:pPr>
      <w:r w:rsidRPr="00563870">
        <w:rPr>
          <w:rFonts w:ascii="Arial" w:hAnsi="Arial" w:cs="Arial"/>
          <w:sz w:val="22"/>
          <w:szCs w:val="22"/>
        </w:rPr>
        <w:t>La investigación de Jorquera Rossel ofrece una profunda reflexión sobre la relación entre las MPU y la educación musical chilena. A través de encuestas y entrevistas, se evidencia que, aunque las MPU han comenzado a ganar espacio en las aulas, todavía existen tensiones con el paradigma estético-formalista que sigue privilegiando la música clásica en los currículos formales. Las teorías de Adorno y la crítica a la música ligera han influido en la exclusión histórica de las MPU, lo que ha dejado un legado que aún persiste en la formación docente y en los programas del MINEDUC. Sin embargo, los resultados también sugieren que hay una apertura progresiva hacia la inclusión de las MPU, particularmente entre los docentes que reconocen su relevancia para conectar con los intereses y experiencias culturales de los estudiantes. La investigación aboga por un cambio en los enfoques educativos y por una mayor retroalimentación entre los docentes y los encargados curriculares, con el fin de integrar las MPU de manera más equitativa y significativa en la educación musical chilena.</w:t>
      </w:r>
    </w:p>
    <w:p w14:paraId="494C9D25" w14:textId="77777777" w:rsidR="00563870" w:rsidRDefault="00563870" w:rsidP="005C33D6">
      <w:pPr>
        <w:pStyle w:val="NormalWeb"/>
        <w:jc w:val="both"/>
        <w:rPr>
          <w:rFonts w:ascii="Arial" w:hAnsi="Arial" w:cs="Arial"/>
          <w:sz w:val="22"/>
          <w:szCs w:val="22"/>
        </w:rPr>
      </w:pPr>
    </w:p>
    <w:p w14:paraId="1D848FC7" w14:textId="3C2DB3C1" w:rsidR="00563870" w:rsidRDefault="00563870" w:rsidP="005C33D6">
      <w:pPr>
        <w:pStyle w:val="NormalWeb"/>
        <w:jc w:val="center"/>
        <w:rPr>
          <w:rFonts w:ascii="Arial" w:hAnsi="Arial" w:cs="Arial"/>
          <w:b/>
          <w:bCs/>
          <w:sz w:val="22"/>
          <w:szCs w:val="22"/>
        </w:rPr>
      </w:pPr>
      <w:r w:rsidRPr="00563870">
        <w:rPr>
          <w:rFonts w:ascii="Arial" w:hAnsi="Arial" w:cs="Arial"/>
          <w:b/>
          <w:bCs/>
          <w:sz w:val="22"/>
          <w:szCs w:val="22"/>
        </w:rPr>
        <w:lastRenderedPageBreak/>
        <w:t>FICHA 2</w:t>
      </w:r>
    </w:p>
    <w:p w14:paraId="6F4363A5" w14:textId="034EEEE6" w:rsidR="00563870" w:rsidRPr="006C75D3" w:rsidRDefault="006C75D3" w:rsidP="005C33D6">
      <w:pPr>
        <w:pStyle w:val="NormalWeb"/>
        <w:jc w:val="both"/>
        <w:rPr>
          <w:rFonts w:ascii="Arial" w:hAnsi="Arial" w:cs="Arial"/>
          <w:b/>
          <w:bCs/>
          <w:sz w:val="22"/>
          <w:szCs w:val="22"/>
        </w:rPr>
      </w:pPr>
      <w:r w:rsidRPr="006C75D3">
        <w:rPr>
          <w:rFonts w:ascii="Arial" w:hAnsi="Arial" w:cs="Arial"/>
          <w:b/>
          <w:bCs/>
          <w:sz w:val="22"/>
          <w:szCs w:val="22"/>
        </w:rPr>
        <w:t>Cita formato APA</w:t>
      </w:r>
    </w:p>
    <w:p w14:paraId="5098CE5E" w14:textId="0B207282" w:rsidR="006C75D3" w:rsidRDefault="006C75D3" w:rsidP="005C33D6">
      <w:pPr>
        <w:pStyle w:val="NormalWeb"/>
        <w:jc w:val="both"/>
        <w:rPr>
          <w:rFonts w:ascii="Arial" w:hAnsi="Arial" w:cs="Arial"/>
          <w:sz w:val="22"/>
          <w:szCs w:val="22"/>
        </w:rPr>
      </w:pPr>
      <w:r w:rsidRPr="006C75D3">
        <w:rPr>
          <w:rFonts w:ascii="Arial" w:hAnsi="Arial" w:cs="Arial"/>
          <w:sz w:val="22"/>
          <w:szCs w:val="22"/>
        </w:rPr>
        <w:t>Villalobos, C</w:t>
      </w:r>
      <w:r>
        <w:rPr>
          <w:rFonts w:ascii="Arial" w:hAnsi="Arial" w:cs="Arial"/>
          <w:sz w:val="22"/>
          <w:szCs w:val="22"/>
        </w:rPr>
        <w:t>. et</w:t>
      </w:r>
      <w:r w:rsidR="00757B32">
        <w:rPr>
          <w:rFonts w:ascii="Arial" w:hAnsi="Arial" w:cs="Arial"/>
          <w:sz w:val="22"/>
          <w:szCs w:val="22"/>
        </w:rPr>
        <w:t xml:space="preserve"> al.</w:t>
      </w:r>
      <w:r w:rsidRPr="006C75D3">
        <w:rPr>
          <w:rFonts w:ascii="Arial" w:hAnsi="Arial" w:cs="Arial"/>
          <w:sz w:val="22"/>
          <w:szCs w:val="22"/>
        </w:rPr>
        <w:t xml:space="preserve"> (2023). Gustos y prácticas culturales de estudiantes de carreras y universidades de élite en Chile. </w:t>
      </w:r>
      <w:proofErr w:type="spellStart"/>
      <w:r w:rsidRPr="006C75D3">
        <w:rPr>
          <w:rStyle w:val="nfasis"/>
          <w:rFonts w:ascii="Arial" w:hAnsi="Arial" w:cs="Arial"/>
          <w:sz w:val="22"/>
          <w:szCs w:val="22"/>
        </w:rPr>
        <w:t>Psicoperspectivas</w:t>
      </w:r>
      <w:proofErr w:type="spellEnd"/>
      <w:r w:rsidRPr="006C75D3">
        <w:rPr>
          <w:rFonts w:ascii="Arial" w:hAnsi="Arial" w:cs="Arial"/>
          <w:sz w:val="22"/>
          <w:szCs w:val="22"/>
        </w:rPr>
        <w:t xml:space="preserve">, 22(2). </w:t>
      </w:r>
      <w:hyperlink r:id="rId13" w:history="1">
        <w:r w:rsidRPr="006C75D3">
          <w:rPr>
            <w:rStyle w:val="Hipervnculo"/>
            <w:rFonts w:ascii="Arial" w:hAnsi="Arial" w:cs="Arial"/>
            <w:sz w:val="22"/>
            <w:szCs w:val="22"/>
          </w:rPr>
          <w:t>https://dx.doi.org/10.5027/psicoperspectivas-vol22-issue2-fulltext-2853</w:t>
        </w:r>
      </w:hyperlink>
      <w:r w:rsidRPr="006C75D3">
        <w:rPr>
          <w:rFonts w:ascii="Arial" w:hAnsi="Arial" w:cs="Arial"/>
          <w:sz w:val="22"/>
          <w:szCs w:val="22"/>
        </w:rPr>
        <w:t>.</w:t>
      </w:r>
    </w:p>
    <w:p w14:paraId="672E605E" w14:textId="7F33E646" w:rsidR="00757B32" w:rsidRDefault="00757B32" w:rsidP="005C33D6">
      <w:pPr>
        <w:pStyle w:val="NormalWeb"/>
        <w:jc w:val="both"/>
        <w:rPr>
          <w:rFonts w:ascii="Arial" w:hAnsi="Arial" w:cs="Arial"/>
          <w:b/>
          <w:bCs/>
          <w:sz w:val="22"/>
          <w:szCs w:val="22"/>
        </w:rPr>
      </w:pPr>
      <w:r w:rsidRPr="007B47A8">
        <w:rPr>
          <w:rFonts w:ascii="Arial" w:hAnsi="Arial" w:cs="Arial"/>
          <w:b/>
          <w:bCs/>
          <w:sz w:val="22"/>
          <w:szCs w:val="22"/>
        </w:rPr>
        <w:t>Definición de conceptos principales</w:t>
      </w:r>
    </w:p>
    <w:p w14:paraId="70DF198F" w14:textId="77777777" w:rsidR="007B47A8" w:rsidRPr="007B47A8" w:rsidRDefault="007B47A8" w:rsidP="005C33D6">
      <w:pPr>
        <w:numPr>
          <w:ilvl w:val="0"/>
          <w:numId w:val="15"/>
        </w:numPr>
        <w:spacing w:before="100" w:beforeAutospacing="1" w:after="100" w:afterAutospacing="1"/>
        <w:jc w:val="both"/>
        <w:rPr>
          <w:rFonts w:ascii="Arial" w:hAnsi="Arial" w:cs="Arial"/>
          <w:sz w:val="22"/>
          <w:szCs w:val="22"/>
          <w:lang w:val="es-ES" w:eastAsia="es-ES"/>
        </w:rPr>
      </w:pPr>
      <w:r w:rsidRPr="007B47A8">
        <w:rPr>
          <w:rFonts w:ascii="Arial" w:hAnsi="Arial" w:cs="Arial"/>
          <w:b/>
          <w:bCs/>
          <w:sz w:val="22"/>
          <w:szCs w:val="22"/>
          <w:lang w:val="es-ES" w:eastAsia="es-ES"/>
        </w:rPr>
        <w:t>Capital cultural:</w:t>
      </w:r>
      <w:r w:rsidRPr="007B47A8">
        <w:rPr>
          <w:rFonts w:ascii="Arial" w:hAnsi="Arial" w:cs="Arial"/>
          <w:sz w:val="22"/>
          <w:szCs w:val="22"/>
          <w:lang w:val="es-ES" w:eastAsia="es-ES"/>
        </w:rPr>
        <w:t xml:space="preserve"> Concepto clave de Bourdieu que se refiere al conjunto de conocimientos, habilidades y competencias culturales adquiridas, tanto en el hogar como en el sistema educativo, que legitiman a las clases altas. En esta investigación, el capital cultural se observa a través de los gustos y prácticas culturales, como las preferencias musicales, literarias y la participación en actividades artísticas.</w:t>
      </w:r>
    </w:p>
    <w:p w14:paraId="39E48566" w14:textId="77777777" w:rsidR="007B47A8" w:rsidRPr="007B47A8" w:rsidRDefault="007B47A8" w:rsidP="005C33D6">
      <w:pPr>
        <w:numPr>
          <w:ilvl w:val="0"/>
          <w:numId w:val="15"/>
        </w:numPr>
        <w:spacing w:before="100" w:beforeAutospacing="1" w:after="100" w:afterAutospacing="1"/>
        <w:jc w:val="both"/>
        <w:rPr>
          <w:rFonts w:ascii="Arial" w:hAnsi="Arial" w:cs="Arial"/>
          <w:sz w:val="22"/>
          <w:szCs w:val="22"/>
          <w:lang w:val="es-ES" w:eastAsia="es-ES"/>
        </w:rPr>
      </w:pPr>
      <w:r w:rsidRPr="007B47A8">
        <w:rPr>
          <w:rFonts w:ascii="Arial" w:hAnsi="Arial" w:cs="Arial"/>
          <w:b/>
          <w:bCs/>
          <w:sz w:val="22"/>
          <w:szCs w:val="22"/>
          <w:lang w:val="es-ES" w:eastAsia="es-ES"/>
        </w:rPr>
        <w:t>Universidades de élite:</w:t>
      </w:r>
      <w:r w:rsidRPr="007B47A8">
        <w:rPr>
          <w:rFonts w:ascii="Arial" w:hAnsi="Arial" w:cs="Arial"/>
          <w:sz w:val="22"/>
          <w:szCs w:val="22"/>
          <w:lang w:val="es-ES" w:eastAsia="es-ES"/>
        </w:rPr>
        <w:t xml:space="preserve"> Se define como aquellas que tienen altos niveles de selectividad y atraen a estudiantes de familias pertenecientes a las élites económicas, políticas y culturales. En Chile, las universidades de élite incluyen instituciones como la Pontificia Universidad Católica, la Universidad de Chile, la Universidad Adolfo Ibáñez y la Universidad de Los Andes.</w:t>
      </w:r>
    </w:p>
    <w:p w14:paraId="0EDE7D0A" w14:textId="77777777" w:rsidR="007B47A8" w:rsidRDefault="007B47A8" w:rsidP="005C33D6">
      <w:pPr>
        <w:numPr>
          <w:ilvl w:val="0"/>
          <w:numId w:val="15"/>
        </w:numPr>
        <w:spacing w:before="100" w:beforeAutospacing="1" w:after="100" w:afterAutospacing="1"/>
        <w:jc w:val="both"/>
        <w:rPr>
          <w:rFonts w:ascii="Arial" w:hAnsi="Arial" w:cs="Arial"/>
          <w:sz w:val="22"/>
          <w:szCs w:val="22"/>
          <w:lang w:val="es-ES" w:eastAsia="es-ES"/>
        </w:rPr>
      </w:pPr>
      <w:proofErr w:type="spellStart"/>
      <w:r w:rsidRPr="007B47A8">
        <w:rPr>
          <w:rFonts w:ascii="Arial" w:hAnsi="Arial" w:cs="Arial"/>
          <w:b/>
          <w:bCs/>
          <w:sz w:val="22"/>
          <w:szCs w:val="22"/>
          <w:lang w:val="es-ES" w:eastAsia="es-ES"/>
        </w:rPr>
        <w:t>Omnivorismo</w:t>
      </w:r>
      <w:proofErr w:type="spellEnd"/>
      <w:r w:rsidRPr="007B47A8">
        <w:rPr>
          <w:rFonts w:ascii="Arial" w:hAnsi="Arial" w:cs="Arial"/>
          <w:b/>
          <w:bCs/>
          <w:sz w:val="22"/>
          <w:szCs w:val="22"/>
          <w:lang w:val="es-ES" w:eastAsia="es-ES"/>
        </w:rPr>
        <w:t xml:space="preserve"> cultural:</w:t>
      </w:r>
      <w:r w:rsidRPr="007B47A8">
        <w:rPr>
          <w:rFonts w:ascii="Arial" w:hAnsi="Arial" w:cs="Arial"/>
          <w:sz w:val="22"/>
          <w:szCs w:val="22"/>
          <w:lang w:val="es-ES" w:eastAsia="es-ES"/>
        </w:rPr>
        <w:t xml:space="preserve"> Tesis que sugiere que las élites contemporáneas no se limitan al consumo de alta cultura, sino que participan en una amplia variedad de prácticas culturales, integrando tanto productos de alta como baja legitimidad social (por ejemplo, música clásica y reggaetón).</w:t>
      </w:r>
    </w:p>
    <w:p w14:paraId="3AFCA320" w14:textId="53406E36" w:rsidR="007B47A8" w:rsidRDefault="00940B32" w:rsidP="005C33D6">
      <w:pPr>
        <w:spacing w:before="100" w:beforeAutospacing="1" w:after="100" w:afterAutospacing="1"/>
        <w:jc w:val="center"/>
        <w:rPr>
          <w:rFonts w:ascii="Arial" w:hAnsi="Arial" w:cs="Arial"/>
          <w:b/>
          <w:bCs/>
          <w:sz w:val="22"/>
          <w:szCs w:val="22"/>
          <w:lang w:val="es-ES" w:eastAsia="es-ES"/>
        </w:rPr>
      </w:pPr>
      <w:r w:rsidRPr="00940B32">
        <w:rPr>
          <w:rFonts w:ascii="Arial" w:hAnsi="Arial" w:cs="Arial"/>
          <w:b/>
          <w:bCs/>
          <w:sz w:val="22"/>
          <w:szCs w:val="22"/>
          <w:lang w:val="es-ES" w:eastAsia="es-ES"/>
        </w:rPr>
        <w:t>Forma de operacionalización</w:t>
      </w:r>
    </w:p>
    <w:p w14:paraId="3A74A692" w14:textId="77777777" w:rsidR="009A372F" w:rsidRPr="009A372F" w:rsidRDefault="009A372F" w:rsidP="005C33D6">
      <w:pPr>
        <w:spacing w:before="100" w:beforeAutospacing="1" w:after="100" w:afterAutospacing="1"/>
        <w:jc w:val="both"/>
        <w:rPr>
          <w:rFonts w:ascii="Arial" w:hAnsi="Arial" w:cs="Arial"/>
          <w:sz w:val="22"/>
          <w:szCs w:val="22"/>
          <w:lang w:val="es-ES" w:eastAsia="es-ES"/>
        </w:rPr>
      </w:pPr>
      <w:r w:rsidRPr="009A372F">
        <w:rPr>
          <w:rFonts w:ascii="Arial" w:hAnsi="Arial" w:cs="Arial"/>
          <w:b/>
          <w:bCs/>
          <w:sz w:val="22"/>
          <w:szCs w:val="22"/>
          <w:lang w:val="es-ES" w:eastAsia="es-ES"/>
        </w:rPr>
        <w:t>Diseño de la encuesta:</w:t>
      </w:r>
      <w:r w:rsidRPr="009A372F">
        <w:rPr>
          <w:rFonts w:ascii="Arial" w:hAnsi="Arial" w:cs="Arial"/>
          <w:sz w:val="22"/>
          <w:szCs w:val="22"/>
          <w:lang w:val="es-ES" w:eastAsia="es-ES"/>
        </w:rPr>
        <w:t xml:space="preserve"> La investigación incluye una encuesta de 44 preguntas aplicada a 1,299 estudiantes de ocho carreras en universidades de élite en Chile. Las preguntas cubren el origen socioeconómico de los estudiantes (historia familiar, tipo de colegio, características socioeconómicas), sus expectativas futuras, percepciones sobre la excelencia y la meritocracia, y finalmente, sus gustos y consumos culturales.</w:t>
      </w:r>
    </w:p>
    <w:p w14:paraId="282702E3" w14:textId="77777777" w:rsidR="009A372F" w:rsidRPr="009A372F" w:rsidRDefault="009A372F" w:rsidP="005C33D6">
      <w:pPr>
        <w:spacing w:before="100" w:beforeAutospacing="1" w:after="100" w:afterAutospacing="1"/>
        <w:jc w:val="both"/>
        <w:rPr>
          <w:rFonts w:ascii="Arial" w:hAnsi="Arial" w:cs="Arial"/>
          <w:sz w:val="22"/>
          <w:szCs w:val="22"/>
          <w:lang w:val="es-ES" w:eastAsia="es-ES"/>
        </w:rPr>
      </w:pPr>
      <w:r w:rsidRPr="009A372F">
        <w:rPr>
          <w:rFonts w:ascii="Arial" w:hAnsi="Arial" w:cs="Arial"/>
          <w:b/>
          <w:bCs/>
          <w:sz w:val="22"/>
          <w:szCs w:val="22"/>
          <w:lang w:val="es-ES" w:eastAsia="es-ES"/>
        </w:rPr>
        <w:t>Variables dependientes:</w:t>
      </w:r>
    </w:p>
    <w:p w14:paraId="7BA67BC1" w14:textId="77777777" w:rsidR="009A372F" w:rsidRPr="009A372F" w:rsidRDefault="009A372F" w:rsidP="005C33D6">
      <w:pPr>
        <w:numPr>
          <w:ilvl w:val="0"/>
          <w:numId w:val="17"/>
        </w:numPr>
        <w:spacing w:before="100" w:beforeAutospacing="1" w:after="100" w:afterAutospacing="1"/>
        <w:jc w:val="both"/>
        <w:rPr>
          <w:rFonts w:ascii="Arial" w:hAnsi="Arial" w:cs="Arial"/>
          <w:sz w:val="22"/>
          <w:szCs w:val="22"/>
          <w:lang w:val="es-ES" w:eastAsia="es-ES"/>
        </w:rPr>
      </w:pPr>
      <w:r w:rsidRPr="009A372F">
        <w:rPr>
          <w:rFonts w:ascii="Arial" w:hAnsi="Arial" w:cs="Arial"/>
          <w:sz w:val="22"/>
          <w:szCs w:val="22"/>
          <w:lang w:val="es-ES" w:eastAsia="es-ES"/>
        </w:rPr>
        <w:t xml:space="preserve">El </w:t>
      </w:r>
      <w:r w:rsidRPr="009A372F">
        <w:rPr>
          <w:rFonts w:ascii="Arial" w:hAnsi="Arial" w:cs="Arial"/>
          <w:b/>
          <w:bCs/>
          <w:sz w:val="22"/>
          <w:szCs w:val="22"/>
          <w:lang w:val="es-ES" w:eastAsia="es-ES"/>
        </w:rPr>
        <w:t>capital cultural</w:t>
      </w:r>
      <w:r w:rsidRPr="009A372F">
        <w:rPr>
          <w:rFonts w:ascii="Arial" w:hAnsi="Arial" w:cs="Arial"/>
          <w:sz w:val="22"/>
          <w:szCs w:val="22"/>
          <w:lang w:val="es-ES" w:eastAsia="es-ES"/>
        </w:rPr>
        <w:t xml:space="preserve"> se analiza mediante variables como las preferencias musicales (pop, rock, reggaetón, música clásica) y literarias (novelas, poesía, filosofía) de los estudiantes, así como su participación en actividades culturales (ópera, teatro, museos).</w:t>
      </w:r>
    </w:p>
    <w:p w14:paraId="3CE68B48" w14:textId="77777777" w:rsidR="009A372F" w:rsidRPr="009A372F" w:rsidRDefault="009A372F" w:rsidP="005C33D6">
      <w:pPr>
        <w:spacing w:before="100" w:beforeAutospacing="1" w:after="100" w:afterAutospacing="1"/>
        <w:jc w:val="both"/>
        <w:rPr>
          <w:rFonts w:ascii="Arial" w:hAnsi="Arial" w:cs="Arial"/>
          <w:sz w:val="22"/>
          <w:szCs w:val="22"/>
          <w:lang w:val="es-ES" w:eastAsia="es-ES"/>
        </w:rPr>
      </w:pPr>
      <w:r w:rsidRPr="009A372F">
        <w:rPr>
          <w:rFonts w:ascii="Arial" w:hAnsi="Arial" w:cs="Arial"/>
          <w:b/>
          <w:bCs/>
          <w:sz w:val="22"/>
          <w:szCs w:val="22"/>
          <w:lang w:val="es-ES" w:eastAsia="es-ES"/>
        </w:rPr>
        <w:t>Variables independientes:</w:t>
      </w:r>
    </w:p>
    <w:p w14:paraId="737A1FD8" w14:textId="77777777" w:rsidR="009A372F" w:rsidRDefault="009A372F" w:rsidP="005C33D6">
      <w:pPr>
        <w:numPr>
          <w:ilvl w:val="0"/>
          <w:numId w:val="18"/>
        </w:numPr>
        <w:spacing w:before="100" w:beforeAutospacing="1" w:after="100" w:afterAutospacing="1"/>
        <w:jc w:val="both"/>
        <w:rPr>
          <w:rFonts w:ascii="Arial" w:hAnsi="Arial" w:cs="Arial"/>
          <w:sz w:val="22"/>
          <w:szCs w:val="22"/>
          <w:lang w:val="es-ES" w:eastAsia="es-ES"/>
        </w:rPr>
      </w:pPr>
      <w:r w:rsidRPr="009A372F">
        <w:rPr>
          <w:rFonts w:ascii="Arial" w:hAnsi="Arial" w:cs="Arial"/>
          <w:b/>
          <w:bCs/>
          <w:sz w:val="22"/>
          <w:szCs w:val="22"/>
          <w:lang w:val="es-ES" w:eastAsia="es-ES"/>
        </w:rPr>
        <w:t>Clase social de origen</w:t>
      </w:r>
      <w:r w:rsidRPr="009A372F">
        <w:rPr>
          <w:rFonts w:ascii="Arial" w:hAnsi="Arial" w:cs="Arial"/>
          <w:sz w:val="22"/>
          <w:szCs w:val="22"/>
          <w:lang w:val="es-ES" w:eastAsia="es-ES"/>
        </w:rPr>
        <w:t>, tipo de colegio (municipal, subvencionado o privado), sexo, carrera y universidad a la que pertenecen los estudiantes.</w:t>
      </w:r>
    </w:p>
    <w:p w14:paraId="6532C763" w14:textId="110B9D01" w:rsidR="009A372F" w:rsidRPr="00CF23B4" w:rsidRDefault="00CF23B4" w:rsidP="005C33D6">
      <w:pPr>
        <w:spacing w:before="100" w:beforeAutospacing="1" w:after="100" w:afterAutospacing="1"/>
        <w:jc w:val="center"/>
        <w:rPr>
          <w:rFonts w:ascii="Arial" w:hAnsi="Arial" w:cs="Arial"/>
          <w:b/>
          <w:bCs/>
          <w:sz w:val="22"/>
          <w:szCs w:val="22"/>
          <w:lang w:val="es-ES" w:eastAsia="es-ES"/>
        </w:rPr>
      </w:pPr>
      <w:r w:rsidRPr="00CF23B4">
        <w:rPr>
          <w:rFonts w:ascii="Arial" w:hAnsi="Arial" w:cs="Arial"/>
          <w:b/>
          <w:bCs/>
          <w:sz w:val="22"/>
          <w:szCs w:val="22"/>
          <w:lang w:val="es-ES" w:eastAsia="es-ES"/>
        </w:rPr>
        <w:t>Metodología</w:t>
      </w:r>
    </w:p>
    <w:p w14:paraId="6894947D" w14:textId="77777777" w:rsidR="00AF5870" w:rsidRDefault="00CF23B4" w:rsidP="005C33D6">
      <w:pPr>
        <w:spacing w:before="100" w:beforeAutospacing="1" w:after="100" w:afterAutospacing="1"/>
        <w:jc w:val="both"/>
        <w:rPr>
          <w:rFonts w:ascii="Arial" w:hAnsi="Arial" w:cs="Arial"/>
          <w:sz w:val="22"/>
          <w:szCs w:val="22"/>
          <w:lang w:val="es-ES" w:eastAsia="es-ES"/>
        </w:rPr>
      </w:pPr>
      <w:r w:rsidRPr="00CF23B4">
        <w:rPr>
          <w:rFonts w:ascii="Arial" w:hAnsi="Arial" w:cs="Arial"/>
          <w:b/>
          <w:bCs/>
          <w:sz w:val="22"/>
          <w:szCs w:val="22"/>
          <w:lang w:val="es-ES" w:eastAsia="es-ES"/>
        </w:rPr>
        <w:t>Tipo de estudio:</w:t>
      </w:r>
      <w:r w:rsidRPr="00CF23B4">
        <w:rPr>
          <w:rFonts w:ascii="Arial" w:hAnsi="Arial" w:cs="Arial"/>
          <w:sz w:val="22"/>
          <w:szCs w:val="22"/>
          <w:lang w:val="es-ES" w:eastAsia="es-ES"/>
        </w:rPr>
        <w:t xml:space="preserve"> Investigación cuantitativa con diseño de encuesta.</w:t>
      </w:r>
      <w:r>
        <w:rPr>
          <w:rFonts w:ascii="Arial" w:hAnsi="Arial" w:cs="Arial"/>
          <w:sz w:val="22"/>
          <w:szCs w:val="22"/>
          <w:lang w:val="es-ES" w:eastAsia="es-ES"/>
        </w:rPr>
        <w:t xml:space="preserve"> </w:t>
      </w:r>
    </w:p>
    <w:p w14:paraId="6B2A800E" w14:textId="77777777" w:rsidR="00AF5870" w:rsidRDefault="00CF23B4" w:rsidP="005C33D6">
      <w:pPr>
        <w:spacing w:before="100" w:beforeAutospacing="1" w:after="100" w:afterAutospacing="1"/>
        <w:jc w:val="both"/>
        <w:rPr>
          <w:rFonts w:ascii="Arial" w:hAnsi="Arial" w:cs="Arial"/>
          <w:sz w:val="22"/>
          <w:szCs w:val="22"/>
          <w:lang w:val="es-ES" w:eastAsia="es-ES"/>
        </w:rPr>
      </w:pPr>
      <w:r w:rsidRPr="00CF23B4">
        <w:rPr>
          <w:rFonts w:ascii="Arial" w:hAnsi="Arial" w:cs="Arial"/>
          <w:b/>
          <w:bCs/>
          <w:sz w:val="22"/>
          <w:szCs w:val="22"/>
          <w:lang w:val="es-ES" w:eastAsia="es-ES"/>
        </w:rPr>
        <w:t>Muestra:</w:t>
      </w:r>
      <w:r w:rsidRPr="00CF23B4">
        <w:rPr>
          <w:rFonts w:ascii="Arial" w:hAnsi="Arial" w:cs="Arial"/>
          <w:sz w:val="22"/>
          <w:szCs w:val="22"/>
          <w:lang w:val="es-ES" w:eastAsia="es-ES"/>
        </w:rPr>
        <w:t xml:space="preserve"> 1,299 estudiantes de universidades y carreras de élite en Chile.</w:t>
      </w:r>
      <w:r>
        <w:rPr>
          <w:rFonts w:ascii="Arial" w:hAnsi="Arial" w:cs="Arial"/>
          <w:sz w:val="22"/>
          <w:szCs w:val="22"/>
          <w:lang w:val="es-ES" w:eastAsia="es-ES"/>
        </w:rPr>
        <w:t xml:space="preserve"> </w:t>
      </w:r>
    </w:p>
    <w:p w14:paraId="07A411B8" w14:textId="666FD425" w:rsidR="00CF23B4" w:rsidRDefault="00CF23B4" w:rsidP="005C33D6">
      <w:pPr>
        <w:spacing w:before="100" w:beforeAutospacing="1" w:after="100" w:afterAutospacing="1"/>
        <w:jc w:val="both"/>
        <w:rPr>
          <w:rFonts w:ascii="Arial" w:hAnsi="Arial" w:cs="Arial"/>
          <w:sz w:val="22"/>
          <w:szCs w:val="22"/>
          <w:lang w:val="es-ES" w:eastAsia="es-ES"/>
        </w:rPr>
      </w:pPr>
      <w:r w:rsidRPr="00CF23B4">
        <w:rPr>
          <w:rFonts w:ascii="Arial" w:hAnsi="Arial" w:cs="Arial"/>
          <w:b/>
          <w:bCs/>
          <w:sz w:val="22"/>
          <w:szCs w:val="22"/>
          <w:lang w:val="es-ES" w:eastAsia="es-ES"/>
        </w:rPr>
        <w:lastRenderedPageBreak/>
        <w:t>Técnicas de análisis:</w:t>
      </w:r>
      <w:r w:rsidRPr="00CF23B4">
        <w:rPr>
          <w:rFonts w:ascii="Arial" w:hAnsi="Arial" w:cs="Arial"/>
          <w:sz w:val="22"/>
          <w:szCs w:val="22"/>
          <w:lang w:val="es-ES" w:eastAsia="es-ES"/>
        </w:rPr>
        <w:t xml:space="preserve"> Se aplicaron un </w:t>
      </w:r>
      <w:r w:rsidRPr="00CF23B4">
        <w:rPr>
          <w:rFonts w:ascii="Arial" w:hAnsi="Arial" w:cs="Arial"/>
          <w:b/>
          <w:bCs/>
          <w:sz w:val="22"/>
          <w:szCs w:val="22"/>
          <w:lang w:val="es-ES" w:eastAsia="es-ES"/>
        </w:rPr>
        <w:t>Análisis de Correspondencia Múltiple (ACM)</w:t>
      </w:r>
      <w:r w:rsidRPr="00CF23B4">
        <w:rPr>
          <w:rFonts w:ascii="Arial" w:hAnsi="Arial" w:cs="Arial"/>
          <w:sz w:val="22"/>
          <w:szCs w:val="22"/>
          <w:lang w:val="es-ES" w:eastAsia="es-ES"/>
        </w:rPr>
        <w:t xml:space="preserve"> y un </w:t>
      </w:r>
      <w:r w:rsidRPr="00CF23B4">
        <w:rPr>
          <w:rFonts w:ascii="Arial" w:hAnsi="Arial" w:cs="Arial"/>
          <w:b/>
          <w:bCs/>
          <w:sz w:val="22"/>
          <w:szCs w:val="22"/>
          <w:lang w:val="es-ES" w:eastAsia="es-ES"/>
        </w:rPr>
        <w:t>Análisis de Perfiles Latentes (APL)</w:t>
      </w:r>
      <w:r w:rsidRPr="00CF23B4">
        <w:rPr>
          <w:rFonts w:ascii="Arial" w:hAnsi="Arial" w:cs="Arial"/>
          <w:sz w:val="22"/>
          <w:szCs w:val="22"/>
          <w:lang w:val="es-ES" w:eastAsia="es-ES"/>
        </w:rPr>
        <w:t xml:space="preserve"> para clasificar a los estudiantes en siete perfiles distintos basados en sus gustos culturales y prácticas de consumo.</w:t>
      </w:r>
    </w:p>
    <w:p w14:paraId="6537C5B6" w14:textId="5753832C" w:rsidR="005C33D6" w:rsidRPr="005C33D6" w:rsidRDefault="005C33D6" w:rsidP="005C33D6">
      <w:pPr>
        <w:spacing w:before="100" w:beforeAutospacing="1" w:after="100" w:afterAutospacing="1"/>
        <w:jc w:val="center"/>
        <w:rPr>
          <w:rFonts w:ascii="Arial" w:hAnsi="Arial" w:cs="Arial"/>
          <w:b/>
          <w:bCs/>
          <w:sz w:val="22"/>
          <w:szCs w:val="22"/>
          <w:lang w:val="es-ES" w:eastAsia="es-ES"/>
        </w:rPr>
      </w:pPr>
      <w:r w:rsidRPr="005C33D6">
        <w:rPr>
          <w:rFonts w:ascii="Arial" w:hAnsi="Arial" w:cs="Arial"/>
          <w:b/>
          <w:bCs/>
          <w:sz w:val="22"/>
          <w:szCs w:val="22"/>
          <w:lang w:val="es-ES" w:eastAsia="es-ES"/>
        </w:rPr>
        <w:t>Síntesis</w:t>
      </w:r>
    </w:p>
    <w:p w14:paraId="2F55CB83" w14:textId="6DA6581C" w:rsidR="005C33D6" w:rsidRPr="005C33D6" w:rsidRDefault="005C33D6" w:rsidP="005C33D6">
      <w:pPr>
        <w:pStyle w:val="NormalWeb"/>
        <w:jc w:val="both"/>
        <w:rPr>
          <w:rFonts w:ascii="Arial" w:hAnsi="Arial" w:cs="Arial"/>
          <w:sz w:val="22"/>
          <w:szCs w:val="22"/>
        </w:rPr>
      </w:pPr>
      <w:r w:rsidRPr="005C33D6">
        <w:rPr>
          <w:rFonts w:ascii="Arial" w:hAnsi="Arial" w:cs="Arial"/>
          <w:sz w:val="22"/>
          <w:szCs w:val="22"/>
        </w:rPr>
        <w:t xml:space="preserve">Este estudio explora cómo los gustos y prácticas culturales de los estudiantes de universidades de élite en Chile reflejan y a veces desafían las tesis de Bourdieu sobre el capital cultural. A través de la encuesta, se identifican siete perfiles de consumo cultural, algunos alineados con la "alta cultura" y otros más cercanos al </w:t>
      </w:r>
      <w:proofErr w:type="spellStart"/>
      <w:r w:rsidRPr="005C33D6">
        <w:rPr>
          <w:rFonts w:ascii="Arial" w:hAnsi="Arial" w:cs="Arial"/>
          <w:sz w:val="22"/>
          <w:szCs w:val="22"/>
        </w:rPr>
        <w:t>omnivorismo</w:t>
      </w:r>
      <w:proofErr w:type="spellEnd"/>
      <w:r w:rsidRPr="005C33D6">
        <w:rPr>
          <w:rFonts w:ascii="Arial" w:hAnsi="Arial" w:cs="Arial"/>
          <w:sz w:val="22"/>
          <w:szCs w:val="22"/>
        </w:rPr>
        <w:t xml:space="preserve"> cultural. Los resultados revelan que el género y la carrera universitaria influyen más en las prácticas culturales que la clase social de origen, lo que pone en cuestión la idea de que las élites se distinguen únicamente por su origen familiar. En cambio, el entorno académico y la carrera específica parecen desempeñar un rol central en la configuración de los gustos culturales.</w:t>
      </w:r>
    </w:p>
    <w:p w14:paraId="0400C873" w14:textId="77777777" w:rsidR="005C33D6" w:rsidRPr="00CF23B4" w:rsidRDefault="005C33D6" w:rsidP="00CF23B4">
      <w:pPr>
        <w:spacing w:before="100" w:beforeAutospacing="1" w:after="100" w:afterAutospacing="1"/>
        <w:jc w:val="both"/>
        <w:rPr>
          <w:rFonts w:ascii="Arial" w:hAnsi="Arial" w:cs="Arial"/>
          <w:sz w:val="22"/>
          <w:szCs w:val="22"/>
          <w:lang w:val="es-ES" w:eastAsia="es-ES"/>
        </w:rPr>
      </w:pPr>
    </w:p>
    <w:p w14:paraId="4651B218" w14:textId="77777777" w:rsidR="00CF23B4" w:rsidRDefault="00CF23B4" w:rsidP="009A372F">
      <w:pPr>
        <w:spacing w:before="100" w:beforeAutospacing="1" w:after="100" w:afterAutospacing="1"/>
        <w:rPr>
          <w:rFonts w:ascii="Arial" w:hAnsi="Arial" w:cs="Arial"/>
          <w:sz w:val="22"/>
          <w:szCs w:val="22"/>
          <w:lang w:val="es-ES" w:eastAsia="es-ES"/>
        </w:rPr>
      </w:pPr>
    </w:p>
    <w:p w14:paraId="6FFB196E" w14:textId="77777777" w:rsidR="00CF23B4" w:rsidRPr="009A372F" w:rsidRDefault="00CF23B4" w:rsidP="009A372F">
      <w:pPr>
        <w:spacing w:before="100" w:beforeAutospacing="1" w:after="100" w:afterAutospacing="1"/>
        <w:rPr>
          <w:rFonts w:ascii="Arial" w:hAnsi="Arial" w:cs="Arial"/>
          <w:sz w:val="22"/>
          <w:szCs w:val="22"/>
          <w:lang w:val="es-ES" w:eastAsia="es-ES"/>
        </w:rPr>
      </w:pPr>
    </w:p>
    <w:p w14:paraId="1B8DE4D5" w14:textId="77777777" w:rsidR="00940B32" w:rsidRPr="007B47A8" w:rsidRDefault="00940B32" w:rsidP="007B47A8">
      <w:pPr>
        <w:spacing w:before="100" w:beforeAutospacing="1" w:after="100" w:afterAutospacing="1"/>
        <w:rPr>
          <w:rFonts w:ascii="Arial" w:hAnsi="Arial" w:cs="Arial"/>
          <w:b/>
          <w:bCs/>
          <w:sz w:val="22"/>
          <w:szCs w:val="22"/>
          <w:lang w:val="es-ES" w:eastAsia="es-ES"/>
        </w:rPr>
      </w:pPr>
    </w:p>
    <w:p w14:paraId="18A56B97" w14:textId="77777777" w:rsidR="007B47A8" w:rsidRPr="007B47A8" w:rsidRDefault="007B47A8" w:rsidP="006C75D3">
      <w:pPr>
        <w:pStyle w:val="NormalWeb"/>
        <w:jc w:val="both"/>
        <w:rPr>
          <w:rFonts w:ascii="Arial" w:hAnsi="Arial" w:cs="Arial"/>
          <w:b/>
          <w:bCs/>
          <w:sz w:val="22"/>
          <w:szCs w:val="22"/>
        </w:rPr>
      </w:pPr>
    </w:p>
    <w:p w14:paraId="6B9DBFF2" w14:textId="77777777" w:rsidR="006C75D3" w:rsidRPr="00563870" w:rsidRDefault="006C75D3" w:rsidP="00563870">
      <w:pPr>
        <w:pStyle w:val="NormalWeb"/>
        <w:rPr>
          <w:rFonts w:ascii="Arial" w:hAnsi="Arial" w:cs="Arial"/>
          <w:b/>
          <w:bCs/>
          <w:sz w:val="22"/>
          <w:szCs w:val="22"/>
        </w:rPr>
      </w:pPr>
    </w:p>
    <w:p w14:paraId="75B12BD1" w14:textId="77777777" w:rsidR="00563870" w:rsidRPr="002629D6" w:rsidRDefault="00563870" w:rsidP="00ED3BA8">
      <w:pPr>
        <w:spacing w:after="160"/>
        <w:jc w:val="both"/>
        <w:rPr>
          <w:b/>
          <w:bCs/>
        </w:rPr>
      </w:pPr>
    </w:p>
    <w:sectPr w:rsidR="00563870" w:rsidRPr="002629D6">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Sebastián Matías Muñoz Tapia" w:date="2024-10-28T17:21:00Z" w:initials="SM">
    <w:p w14:paraId="3EFEB026" w14:textId="78823562" w:rsidR="005D485D" w:rsidRDefault="005D485D">
      <w:pPr>
        <w:pStyle w:val="Textocomentario"/>
      </w:pPr>
      <w:r>
        <w:rPr>
          <w:rStyle w:val="Refdecomentario"/>
        </w:rPr>
        <w:annotationRef/>
      </w:r>
      <w:r>
        <w:t>0,8 de 1</w:t>
      </w:r>
    </w:p>
  </w:comment>
  <w:comment w:id="1" w:author="Sebastián Matías Muñoz Tapia" w:date="2024-10-28T17:17:00Z" w:initials="SM">
    <w:p w14:paraId="4A24DFF4" w14:textId="017B66C4" w:rsidR="005D485D" w:rsidRDefault="005D485D">
      <w:pPr>
        <w:pStyle w:val="Textocomentario"/>
      </w:pPr>
      <w:r>
        <w:rPr>
          <w:rStyle w:val="Refdecomentario"/>
        </w:rPr>
        <w:annotationRef/>
      </w:r>
      <w:r>
        <w:t>Esto más que un concepto parece ser una posición ante la MPU</w:t>
      </w:r>
    </w:p>
  </w:comment>
  <w:comment w:id="2" w:author="Sebastián Matías Muñoz Tapia" w:date="2024-10-28T17:18:00Z" w:initials="SM">
    <w:p w14:paraId="7717E7A4" w14:textId="77777777" w:rsidR="005D485D" w:rsidRDefault="005D485D">
      <w:pPr>
        <w:pStyle w:val="Textocomentario"/>
      </w:pPr>
      <w:r>
        <w:rPr>
          <w:rStyle w:val="Refdecomentario"/>
        </w:rPr>
        <w:annotationRef/>
      </w:r>
      <w:proofErr w:type="gramStart"/>
      <w:r>
        <w:t>Dice investigación cualitativa y luego encuestas?</w:t>
      </w:r>
      <w:proofErr w:type="gramEnd"/>
    </w:p>
    <w:p w14:paraId="7622174F" w14:textId="260F961D" w:rsidR="005D485D" w:rsidRDefault="005D485D">
      <w:pPr>
        <w:pStyle w:val="Textocomentario"/>
      </w:pPr>
      <w:proofErr w:type="gramStart"/>
      <w:r>
        <w:t>Cómo es eso?</w:t>
      </w:r>
      <w:proofErr w:type="gramEnd"/>
      <w:r>
        <w:t xml:space="preserve"> </w:t>
      </w:r>
      <w:proofErr w:type="gramStart"/>
      <w:r>
        <w:t>Es un estudio mixto?</w:t>
      </w:r>
      <w:proofErr w:type="gram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EFEB026" w15:done="0"/>
  <w15:commentEx w15:paraId="4A24DFF4" w15:done="0"/>
  <w15:commentEx w15:paraId="7622174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C6E1CB7" w16cex:dateUtc="2024-10-28T20:21:00Z"/>
  <w16cex:commentExtensible w16cex:durableId="3846A40B" w16cex:dateUtc="2024-10-28T20:17:00Z"/>
  <w16cex:commentExtensible w16cex:durableId="70EA68E5" w16cex:dateUtc="2024-10-28T20: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EFEB026" w16cid:durableId="2C6E1CB7"/>
  <w16cid:commentId w16cid:paraId="4A24DFF4" w16cid:durableId="3846A40B"/>
  <w16cid:commentId w16cid:paraId="7622174F" w16cid:durableId="70EA68E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672D81" w14:textId="77777777" w:rsidR="00A25D4F" w:rsidRDefault="00A25D4F" w:rsidP="00C7107A">
      <w:r>
        <w:separator/>
      </w:r>
    </w:p>
  </w:endnote>
  <w:endnote w:type="continuationSeparator" w:id="0">
    <w:p w14:paraId="566C101D" w14:textId="77777777" w:rsidR="00A25D4F" w:rsidRDefault="00A25D4F" w:rsidP="00C710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EB Garamond">
    <w:altName w:val="EB Garamond"/>
    <w:charset w:val="00"/>
    <w:family w:val="auto"/>
    <w:pitch w:val="variable"/>
    <w:sig w:usb0="E00002FF" w:usb1="020004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A66F08" w14:textId="77777777" w:rsidR="00A25D4F" w:rsidRDefault="00A25D4F" w:rsidP="00C7107A">
      <w:r>
        <w:separator/>
      </w:r>
    </w:p>
  </w:footnote>
  <w:footnote w:type="continuationSeparator" w:id="0">
    <w:p w14:paraId="0982DC79" w14:textId="77777777" w:rsidR="00A25D4F" w:rsidRDefault="00A25D4F" w:rsidP="00C710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11025"/>
    <w:multiLevelType w:val="multilevel"/>
    <w:tmpl w:val="1ED4180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8239A3"/>
    <w:multiLevelType w:val="multilevel"/>
    <w:tmpl w:val="B614C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EF7490"/>
    <w:multiLevelType w:val="multilevel"/>
    <w:tmpl w:val="1AAC9F2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C30161"/>
    <w:multiLevelType w:val="multilevel"/>
    <w:tmpl w:val="2C54D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AB3003"/>
    <w:multiLevelType w:val="multilevel"/>
    <w:tmpl w:val="2974BF3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78288F"/>
    <w:multiLevelType w:val="multilevel"/>
    <w:tmpl w:val="54604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415606"/>
    <w:multiLevelType w:val="multilevel"/>
    <w:tmpl w:val="D2B4F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2E6C1D"/>
    <w:multiLevelType w:val="multilevel"/>
    <w:tmpl w:val="E5F2259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BA6737"/>
    <w:multiLevelType w:val="multilevel"/>
    <w:tmpl w:val="CDF23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EF4B0B"/>
    <w:multiLevelType w:val="multilevel"/>
    <w:tmpl w:val="4CF25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E268BF"/>
    <w:multiLevelType w:val="multilevel"/>
    <w:tmpl w:val="6A58375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F47903"/>
    <w:multiLevelType w:val="multilevel"/>
    <w:tmpl w:val="53FA1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8B60F7"/>
    <w:multiLevelType w:val="multilevel"/>
    <w:tmpl w:val="52D2A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9154F08"/>
    <w:multiLevelType w:val="multilevel"/>
    <w:tmpl w:val="5AC22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2B75866"/>
    <w:multiLevelType w:val="multilevel"/>
    <w:tmpl w:val="1728D4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B1B36C2"/>
    <w:multiLevelType w:val="multilevel"/>
    <w:tmpl w:val="E8EADCC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9C5F99"/>
    <w:multiLevelType w:val="multilevel"/>
    <w:tmpl w:val="837E1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74D26C3"/>
    <w:multiLevelType w:val="multilevel"/>
    <w:tmpl w:val="7722CF2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31475A"/>
    <w:multiLevelType w:val="multilevel"/>
    <w:tmpl w:val="0ECC1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8915634">
    <w:abstractNumId w:val="14"/>
  </w:num>
  <w:num w:numId="2" w16cid:durableId="1137649170">
    <w:abstractNumId w:val="15"/>
  </w:num>
  <w:num w:numId="3" w16cid:durableId="2096635039">
    <w:abstractNumId w:val="13"/>
  </w:num>
  <w:num w:numId="4" w16cid:durableId="985011315">
    <w:abstractNumId w:val="2"/>
  </w:num>
  <w:num w:numId="5" w16cid:durableId="2146654299">
    <w:abstractNumId w:val="16"/>
  </w:num>
  <w:num w:numId="6" w16cid:durableId="2070374350">
    <w:abstractNumId w:val="12"/>
  </w:num>
  <w:num w:numId="7" w16cid:durableId="372192027">
    <w:abstractNumId w:val="7"/>
  </w:num>
  <w:num w:numId="8" w16cid:durableId="1210650048">
    <w:abstractNumId w:val="8"/>
  </w:num>
  <w:num w:numId="9" w16cid:durableId="1718967989">
    <w:abstractNumId w:val="4"/>
  </w:num>
  <w:num w:numId="10" w16cid:durableId="1556701988">
    <w:abstractNumId w:val="10"/>
  </w:num>
  <w:num w:numId="11" w16cid:durableId="1208640249">
    <w:abstractNumId w:val="5"/>
  </w:num>
  <w:num w:numId="12" w16cid:durableId="407188397">
    <w:abstractNumId w:val="17"/>
  </w:num>
  <w:num w:numId="13" w16cid:durableId="648900803">
    <w:abstractNumId w:val="1"/>
  </w:num>
  <w:num w:numId="14" w16cid:durableId="1428236133">
    <w:abstractNumId w:val="0"/>
  </w:num>
  <w:num w:numId="15" w16cid:durableId="456602879">
    <w:abstractNumId w:val="3"/>
  </w:num>
  <w:num w:numId="16" w16cid:durableId="746416925">
    <w:abstractNumId w:val="6"/>
  </w:num>
  <w:num w:numId="17" w16cid:durableId="2048798197">
    <w:abstractNumId w:val="9"/>
  </w:num>
  <w:num w:numId="18" w16cid:durableId="147554090">
    <w:abstractNumId w:val="18"/>
  </w:num>
  <w:num w:numId="19" w16cid:durableId="595210570">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ebastián Matías Muñoz Tapia">
    <w15:presenceInfo w15:providerId="AD" w15:userId="S::semunoz@uahurtado.cl::f9558a7c-029f-4590-8bed-1a69c12292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D18"/>
    <w:rsid w:val="0004674B"/>
    <w:rsid w:val="00050A59"/>
    <w:rsid w:val="000B33FD"/>
    <w:rsid w:val="001E700A"/>
    <w:rsid w:val="00220D6C"/>
    <w:rsid w:val="002629D6"/>
    <w:rsid w:val="00286587"/>
    <w:rsid w:val="00352EAB"/>
    <w:rsid w:val="003A2D18"/>
    <w:rsid w:val="0043126D"/>
    <w:rsid w:val="00563870"/>
    <w:rsid w:val="005C33D6"/>
    <w:rsid w:val="005D485D"/>
    <w:rsid w:val="00670F1C"/>
    <w:rsid w:val="006C75D3"/>
    <w:rsid w:val="0072522A"/>
    <w:rsid w:val="00757B32"/>
    <w:rsid w:val="007B47A8"/>
    <w:rsid w:val="00821965"/>
    <w:rsid w:val="00940B32"/>
    <w:rsid w:val="009A372F"/>
    <w:rsid w:val="009B64F7"/>
    <w:rsid w:val="00A25D4F"/>
    <w:rsid w:val="00AF5870"/>
    <w:rsid w:val="00B9243B"/>
    <w:rsid w:val="00BF29ED"/>
    <w:rsid w:val="00C51E99"/>
    <w:rsid w:val="00C7107A"/>
    <w:rsid w:val="00CE4FFE"/>
    <w:rsid w:val="00CF23B4"/>
    <w:rsid w:val="00EB1EDA"/>
    <w:rsid w:val="00ED3B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47840"/>
  <w15:chartTrackingRefBased/>
  <w15:docId w15:val="{0D13D6FF-67F9-4DFE-9C43-197DC88D1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522A"/>
    <w:pPr>
      <w:spacing w:after="0" w:line="240" w:lineRule="auto"/>
    </w:pPr>
    <w:rPr>
      <w:rFonts w:ascii="Times New Roman" w:eastAsia="Times New Roman" w:hAnsi="Times New Roman" w:cs="Times New Roman"/>
      <w:sz w:val="24"/>
      <w:szCs w:val="24"/>
      <w:lang w:val="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C710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7107A"/>
    <w:pPr>
      <w:spacing w:before="100" w:beforeAutospacing="1" w:after="100" w:afterAutospacing="1"/>
    </w:pPr>
    <w:rPr>
      <w:lang w:val="es-ES" w:eastAsia="es-ES"/>
    </w:rPr>
  </w:style>
  <w:style w:type="character" w:styleId="nfasis">
    <w:name w:val="Emphasis"/>
    <w:basedOn w:val="Fuentedeprrafopredeter"/>
    <w:uiPriority w:val="20"/>
    <w:qFormat/>
    <w:rsid w:val="00C7107A"/>
    <w:rPr>
      <w:i/>
      <w:iCs/>
    </w:rPr>
  </w:style>
  <w:style w:type="character" w:styleId="Hipervnculo">
    <w:name w:val="Hyperlink"/>
    <w:basedOn w:val="Fuentedeprrafopredeter"/>
    <w:uiPriority w:val="99"/>
    <w:unhideWhenUsed/>
    <w:rsid w:val="00C7107A"/>
    <w:rPr>
      <w:color w:val="0000FF"/>
      <w:u w:val="single"/>
    </w:rPr>
  </w:style>
  <w:style w:type="character" w:styleId="Textoennegrita">
    <w:name w:val="Strong"/>
    <w:basedOn w:val="Fuentedeprrafopredeter"/>
    <w:uiPriority w:val="22"/>
    <w:qFormat/>
    <w:rsid w:val="00C7107A"/>
    <w:rPr>
      <w:b/>
      <w:bCs/>
    </w:rPr>
  </w:style>
  <w:style w:type="paragraph" w:styleId="Encabezado">
    <w:name w:val="header"/>
    <w:basedOn w:val="Normal"/>
    <w:link w:val="EncabezadoCar"/>
    <w:uiPriority w:val="99"/>
    <w:unhideWhenUsed/>
    <w:rsid w:val="00C7107A"/>
    <w:pPr>
      <w:tabs>
        <w:tab w:val="center" w:pos="4252"/>
        <w:tab w:val="right" w:pos="8504"/>
      </w:tabs>
    </w:pPr>
  </w:style>
  <w:style w:type="character" w:customStyle="1" w:styleId="EncabezadoCar">
    <w:name w:val="Encabezado Car"/>
    <w:basedOn w:val="Fuentedeprrafopredeter"/>
    <w:link w:val="Encabezado"/>
    <w:uiPriority w:val="99"/>
    <w:rsid w:val="00C7107A"/>
    <w:rPr>
      <w:rFonts w:ascii="Times New Roman" w:eastAsia="Times New Roman" w:hAnsi="Times New Roman" w:cs="Times New Roman"/>
      <w:sz w:val="24"/>
      <w:szCs w:val="24"/>
      <w:lang w:val="es-CL"/>
    </w:rPr>
  </w:style>
  <w:style w:type="paragraph" w:styleId="Piedepgina">
    <w:name w:val="footer"/>
    <w:basedOn w:val="Normal"/>
    <w:link w:val="PiedepginaCar"/>
    <w:uiPriority w:val="99"/>
    <w:unhideWhenUsed/>
    <w:rsid w:val="00C7107A"/>
    <w:pPr>
      <w:tabs>
        <w:tab w:val="center" w:pos="4252"/>
        <w:tab w:val="right" w:pos="8504"/>
      </w:tabs>
    </w:pPr>
  </w:style>
  <w:style w:type="character" w:customStyle="1" w:styleId="PiedepginaCar">
    <w:name w:val="Pie de página Car"/>
    <w:basedOn w:val="Fuentedeprrafopredeter"/>
    <w:link w:val="Piedepgina"/>
    <w:uiPriority w:val="99"/>
    <w:rsid w:val="00C7107A"/>
    <w:rPr>
      <w:rFonts w:ascii="Times New Roman" w:eastAsia="Times New Roman" w:hAnsi="Times New Roman" w:cs="Times New Roman"/>
      <w:sz w:val="24"/>
      <w:szCs w:val="24"/>
      <w:lang w:val="es-CL"/>
    </w:rPr>
  </w:style>
  <w:style w:type="character" w:styleId="Mencinsinresolver">
    <w:name w:val="Unresolved Mention"/>
    <w:basedOn w:val="Fuentedeprrafopredeter"/>
    <w:uiPriority w:val="99"/>
    <w:semiHidden/>
    <w:unhideWhenUsed/>
    <w:rsid w:val="00BF29ED"/>
    <w:rPr>
      <w:color w:val="605E5C"/>
      <w:shd w:val="clear" w:color="auto" w:fill="E1DFDD"/>
    </w:rPr>
  </w:style>
  <w:style w:type="character" w:styleId="Hipervnculovisitado">
    <w:name w:val="FollowedHyperlink"/>
    <w:basedOn w:val="Fuentedeprrafopredeter"/>
    <w:uiPriority w:val="99"/>
    <w:semiHidden/>
    <w:unhideWhenUsed/>
    <w:rsid w:val="00BF29ED"/>
    <w:rPr>
      <w:color w:val="954F72" w:themeColor="followedHyperlink"/>
      <w:u w:val="single"/>
    </w:rPr>
  </w:style>
  <w:style w:type="paragraph" w:styleId="Prrafodelista">
    <w:name w:val="List Paragraph"/>
    <w:basedOn w:val="Normal"/>
    <w:uiPriority w:val="34"/>
    <w:qFormat/>
    <w:rsid w:val="0043126D"/>
    <w:pPr>
      <w:ind w:left="720"/>
      <w:contextualSpacing/>
    </w:pPr>
  </w:style>
  <w:style w:type="character" w:styleId="Refdecomentario">
    <w:name w:val="annotation reference"/>
    <w:basedOn w:val="Fuentedeprrafopredeter"/>
    <w:uiPriority w:val="99"/>
    <w:semiHidden/>
    <w:unhideWhenUsed/>
    <w:rsid w:val="005D485D"/>
    <w:rPr>
      <w:sz w:val="16"/>
      <w:szCs w:val="16"/>
    </w:rPr>
  </w:style>
  <w:style w:type="paragraph" w:styleId="Textocomentario">
    <w:name w:val="annotation text"/>
    <w:basedOn w:val="Normal"/>
    <w:link w:val="TextocomentarioCar"/>
    <w:uiPriority w:val="99"/>
    <w:semiHidden/>
    <w:unhideWhenUsed/>
    <w:rsid w:val="005D485D"/>
    <w:rPr>
      <w:sz w:val="20"/>
      <w:szCs w:val="20"/>
    </w:rPr>
  </w:style>
  <w:style w:type="character" w:customStyle="1" w:styleId="TextocomentarioCar">
    <w:name w:val="Texto comentario Car"/>
    <w:basedOn w:val="Fuentedeprrafopredeter"/>
    <w:link w:val="Textocomentario"/>
    <w:uiPriority w:val="99"/>
    <w:semiHidden/>
    <w:rsid w:val="005D485D"/>
    <w:rPr>
      <w:rFonts w:ascii="Times New Roman" w:eastAsia="Times New Roman" w:hAnsi="Times New Roman" w:cs="Times New Roman"/>
      <w:sz w:val="20"/>
      <w:szCs w:val="20"/>
      <w:lang w:val="es-CL"/>
    </w:rPr>
  </w:style>
  <w:style w:type="paragraph" w:styleId="Asuntodelcomentario">
    <w:name w:val="annotation subject"/>
    <w:basedOn w:val="Textocomentario"/>
    <w:next w:val="Textocomentario"/>
    <w:link w:val="AsuntodelcomentarioCar"/>
    <w:uiPriority w:val="99"/>
    <w:semiHidden/>
    <w:unhideWhenUsed/>
    <w:rsid w:val="005D485D"/>
    <w:rPr>
      <w:b/>
      <w:bCs/>
    </w:rPr>
  </w:style>
  <w:style w:type="character" w:customStyle="1" w:styleId="AsuntodelcomentarioCar">
    <w:name w:val="Asunto del comentario Car"/>
    <w:basedOn w:val="TextocomentarioCar"/>
    <w:link w:val="Asuntodelcomentario"/>
    <w:uiPriority w:val="99"/>
    <w:semiHidden/>
    <w:rsid w:val="005D485D"/>
    <w:rPr>
      <w:rFonts w:ascii="Times New Roman" w:eastAsia="Times New Roman" w:hAnsi="Times New Roman" w:cs="Times New Roman"/>
      <w:b/>
      <w:bCs/>
      <w:sz w:val="20"/>
      <w:szCs w:val="20"/>
      <w:lang w:val="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2346952">
      <w:bodyDiv w:val="1"/>
      <w:marLeft w:val="0"/>
      <w:marRight w:val="0"/>
      <w:marTop w:val="0"/>
      <w:marBottom w:val="0"/>
      <w:divBdr>
        <w:top w:val="none" w:sz="0" w:space="0" w:color="auto"/>
        <w:left w:val="none" w:sz="0" w:space="0" w:color="auto"/>
        <w:bottom w:val="none" w:sz="0" w:space="0" w:color="auto"/>
        <w:right w:val="none" w:sz="0" w:space="0" w:color="auto"/>
      </w:divBdr>
    </w:div>
    <w:div w:id="332337024">
      <w:bodyDiv w:val="1"/>
      <w:marLeft w:val="0"/>
      <w:marRight w:val="0"/>
      <w:marTop w:val="0"/>
      <w:marBottom w:val="0"/>
      <w:divBdr>
        <w:top w:val="none" w:sz="0" w:space="0" w:color="auto"/>
        <w:left w:val="none" w:sz="0" w:space="0" w:color="auto"/>
        <w:bottom w:val="none" w:sz="0" w:space="0" w:color="auto"/>
        <w:right w:val="none" w:sz="0" w:space="0" w:color="auto"/>
      </w:divBdr>
    </w:div>
    <w:div w:id="454180410">
      <w:bodyDiv w:val="1"/>
      <w:marLeft w:val="0"/>
      <w:marRight w:val="0"/>
      <w:marTop w:val="0"/>
      <w:marBottom w:val="0"/>
      <w:divBdr>
        <w:top w:val="none" w:sz="0" w:space="0" w:color="auto"/>
        <w:left w:val="none" w:sz="0" w:space="0" w:color="auto"/>
        <w:bottom w:val="none" w:sz="0" w:space="0" w:color="auto"/>
        <w:right w:val="none" w:sz="0" w:space="0" w:color="auto"/>
      </w:divBdr>
    </w:div>
    <w:div w:id="592517601">
      <w:bodyDiv w:val="1"/>
      <w:marLeft w:val="0"/>
      <w:marRight w:val="0"/>
      <w:marTop w:val="0"/>
      <w:marBottom w:val="0"/>
      <w:divBdr>
        <w:top w:val="none" w:sz="0" w:space="0" w:color="auto"/>
        <w:left w:val="none" w:sz="0" w:space="0" w:color="auto"/>
        <w:bottom w:val="none" w:sz="0" w:space="0" w:color="auto"/>
        <w:right w:val="none" w:sz="0" w:space="0" w:color="auto"/>
      </w:divBdr>
    </w:div>
    <w:div w:id="714963442">
      <w:bodyDiv w:val="1"/>
      <w:marLeft w:val="0"/>
      <w:marRight w:val="0"/>
      <w:marTop w:val="0"/>
      <w:marBottom w:val="0"/>
      <w:divBdr>
        <w:top w:val="none" w:sz="0" w:space="0" w:color="auto"/>
        <w:left w:val="none" w:sz="0" w:space="0" w:color="auto"/>
        <w:bottom w:val="none" w:sz="0" w:space="0" w:color="auto"/>
        <w:right w:val="none" w:sz="0" w:space="0" w:color="auto"/>
      </w:divBdr>
    </w:div>
    <w:div w:id="826938414">
      <w:bodyDiv w:val="1"/>
      <w:marLeft w:val="0"/>
      <w:marRight w:val="0"/>
      <w:marTop w:val="0"/>
      <w:marBottom w:val="0"/>
      <w:divBdr>
        <w:top w:val="none" w:sz="0" w:space="0" w:color="auto"/>
        <w:left w:val="none" w:sz="0" w:space="0" w:color="auto"/>
        <w:bottom w:val="none" w:sz="0" w:space="0" w:color="auto"/>
        <w:right w:val="none" w:sz="0" w:space="0" w:color="auto"/>
      </w:divBdr>
    </w:div>
    <w:div w:id="891040462">
      <w:bodyDiv w:val="1"/>
      <w:marLeft w:val="0"/>
      <w:marRight w:val="0"/>
      <w:marTop w:val="0"/>
      <w:marBottom w:val="0"/>
      <w:divBdr>
        <w:top w:val="none" w:sz="0" w:space="0" w:color="auto"/>
        <w:left w:val="none" w:sz="0" w:space="0" w:color="auto"/>
        <w:bottom w:val="none" w:sz="0" w:space="0" w:color="auto"/>
        <w:right w:val="none" w:sz="0" w:space="0" w:color="auto"/>
      </w:divBdr>
    </w:div>
    <w:div w:id="937913069">
      <w:bodyDiv w:val="1"/>
      <w:marLeft w:val="0"/>
      <w:marRight w:val="0"/>
      <w:marTop w:val="0"/>
      <w:marBottom w:val="0"/>
      <w:divBdr>
        <w:top w:val="none" w:sz="0" w:space="0" w:color="auto"/>
        <w:left w:val="none" w:sz="0" w:space="0" w:color="auto"/>
        <w:bottom w:val="none" w:sz="0" w:space="0" w:color="auto"/>
        <w:right w:val="none" w:sz="0" w:space="0" w:color="auto"/>
      </w:divBdr>
    </w:div>
    <w:div w:id="1105686707">
      <w:bodyDiv w:val="1"/>
      <w:marLeft w:val="0"/>
      <w:marRight w:val="0"/>
      <w:marTop w:val="0"/>
      <w:marBottom w:val="0"/>
      <w:divBdr>
        <w:top w:val="none" w:sz="0" w:space="0" w:color="auto"/>
        <w:left w:val="none" w:sz="0" w:space="0" w:color="auto"/>
        <w:bottom w:val="none" w:sz="0" w:space="0" w:color="auto"/>
        <w:right w:val="none" w:sz="0" w:space="0" w:color="auto"/>
      </w:divBdr>
    </w:div>
    <w:div w:id="1155410503">
      <w:bodyDiv w:val="1"/>
      <w:marLeft w:val="0"/>
      <w:marRight w:val="0"/>
      <w:marTop w:val="0"/>
      <w:marBottom w:val="0"/>
      <w:divBdr>
        <w:top w:val="none" w:sz="0" w:space="0" w:color="auto"/>
        <w:left w:val="none" w:sz="0" w:space="0" w:color="auto"/>
        <w:bottom w:val="none" w:sz="0" w:space="0" w:color="auto"/>
        <w:right w:val="none" w:sz="0" w:space="0" w:color="auto"/>
      </w:divBdr>
    </w:div>
    <w:div w:id="1183283624">
      <w:bodyDiv w:val="1"/>
      <w:marLeft w:val="0"/>
      <w:marRight w:val="0"/>
      <w:marTop w:val="0"/>
      <w:marBottom w:val="0"/>
      <w:divBdr>
        <w:top w:val="none" w:sz="0" w:space="0" w:color="auto"/>
        <w:left w:val="none" w:sz="0" w:space="0" w:color="auto"/>
        <w:bottom w:val="none" w:sz="0" w:space="0" w:color="auto"/>
        <w:right w:val="none" w:sz="0" w:space="0" w:color="auto"/>
      </w:divBdr>
    </w:div>
    <w:div w:id="1213495571">
      <w:bodyDiv w:val="1"/>
      <w:marLeft w:val="0"/>
      <w:marRight w:val="0"/>
      <w:marTop w:val="0"/>
      <w:marBottom w:val="0"/>
      <w:divBdr>
        <w:top w:val="none" w:sz="0" w:space="0" w:color="auto"/>
        <w:left w:val="none" w:sz="0" w:space="0" w:color="auto"/>
        <w:bottom w:val="none" w:sz="0" w:space="0" w:color="auto"/>
        <w:right w:val="none" w:sz="0" w:space="0" w:color="auto"/>
      </w:divBdr>
    </w:div>
    <w:div w:id="1272586718">
      <w:bodyDiv w:val="1"/>
      <w:marLeft w:val="0"/>
      <w:marRight w:val="0"/>
      <w:marTop w:val="0"/>
      <w:marBottom w:val="0"/>
      <w:divBdr>
        <w:top w:val="none" w:sz="0" w:space="0" w:color="auto"/>
        <w:left w:val="none" w:sz="0" w:space="0" w:color="auto"/>
        <w:bottom w:val="none" w:sz="0" w:space="0" w:color="auto"/>
        <w:right w:val="none" w:sz="0" w:space="0" w:color="auto"/>
      </w:divBdr>
    </w:div>
    <w:div w:id="1317297447">
      <w:bodyDiv w:val="1"/>
      <w:marLeft w:val="0"/>
      <w:marRight w:val="0"/>
      <w:marTop w:val="0"/>
      <w:marBottom w:val="0"/>
      <w:divBdr>
        <w:top w:val="none" w:sz="0" w:space="0" w:color="auto"/>
        <w:left w:val="none" w:sz="0" w:space="0" w:color="auto"/>
        <w:bottom w:val="none" w:sz="0" w:space="0" w:color="auto"/>
        <w:right w:val="none" w:sz="0" w:space="0" w:color="auto"/>
      </w:divBdr>
    </w:div>
    <w:div w:id="1373113723">
      <w:bodyDiv w:val="1"/>
      <w:marLeft w:val="0"/>
      <w:marRight w:val="0"/>
      <w:marTop w:val="0"/>
      <w:marBottom w:val="0"/>
      <w:divBdr>
        <w:top w:val="none" w:sz="0" w:space="0" w:color="auto"/>
        <w:left w:val="none" w:sz="0" w:space="0" w:color="auto"/>
        <w:bottom w:val="none" w:sz="0" w:space="0" w:color="auto"/>
        <w:right w:val="none" w:sz="0" w:space="0" w:color="auto"/>
      </w:divBdr>
    </w:div>
    <w:div w:id="1577013882">
      <w:bodyDiv w:val="1"/>
      <w:marLeft w:val="0"/>
      <w:marRight w:val="0"/>
      <w:marTop w:val="0"/>
      <w:marBottom w:val="0"/>
      <w:divBdr>
        <w:top w:val="none" w:sz="0" w:space="0" w:color="auto"/>
        <w:left w:val="none" w:sz="0" w:space="0" w:color="auto"/>
        <w:bottom w:val="none" w:sz="0" w:space="0" w:color="auto"/>
        <w:right w:val="none" w:sz="0" w:space="0" w:color="auto"/>
      </w:divBdr>
    </w:div>
    <w:div w:id="1697854386">
      <w:bodyDiv w:val="1"/>
      <w:marLeft w:val="0"/>
      <w:marRight w:val="0"/>
      <w:marTop w:val="0"/>
      <w:marBottom w:val="0"/>
      <w:divBdr>
        <w:top w:val="none" w:sz="0" w:space="0" w:color="auto"/>
        <w:left w:val="none" w:sz="0" w:space="0" w:color="auto"/>
        <w:bottom w:val="none" w:sz="0" w:space="0" w:color="auto"/>
        <w:right w:val="none" w:sz="0" w:space="0" w:color="auto"/>
      </w:divBdr>
    </w:div>
    <w:div w:id="1740593349">
      <w:bodyDiv w:val="1"/>
      <w:marLeft w:val="0"/>
      <w:marRight w:val="0"/>
      <w:marTop w:val="0"/>
      <w:marBottom w:val="0"/>
      <w:divBdr>
        <w:top w:val="none" w:sz="0" w:space="0" w:color="auto"/>
        <w:left w:val="none" w:sz="0" w:space="0" w:color="auto"/>
        <w:bottom w:val="none" w:sz="0" w:space="0" w:color="auto"/>
        <w:right w:val="none" w:sz="0" w:space="0" w:color="auto"/>
      </w:divBdr>
    </w:div>
    <w:div w:id="2130052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dx.doi.org/10.5027/psicoperspectivas-vol22-issue2-fulltext-2853"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educacion.gob.es/teseo/imprimirFicheroTesis.do?idFichero=%2B8PDYnCkNkE%3D"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5</Pages>
  <Words>1477</Words>
  <Characters>8129</Characters>
  <Application>Microsoft Office Word</Application>
  <DocSecurity>0</DocSecurity>
  <Lines>67</Lines>
  <Paragraphs>19</Paragraphs>
  <ScaleCrop>false</ScaleCrop>
  <Company/>
  <LinksUpToDate>false</LinksUpToDate>
  <CharactersWithSpaces>9587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NAZARETH VARINIA SALAZAR ACEVEDO</dc:creator>
  <cp:keywords/>
  <dc:description/>
  <cp:lastModifiedBy>Sebastián Matías Muñoz Tapia</cp:lastModifiedBy>
  <cp:revision>29</cp:revision>
  <dcterms:created xsi:type="dcterms:W3CDTF">2024-10-18T23:16:00Z</dcterms:created>
  <dcterms:modified xsi:type="dcterms:W3CDTF">2024-10-28T20:21:00Z</dcterms:modified>
</cp:coreProperties>
</file>