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pPr w:leftFromText="141" w:rightFromText="141" w:vertAnchor="page" w:horzAnchor="margin" w:tblpXSpec="center" w:tblpY="781"/>
        <w:tblW w:w="11756" w:type="dxa"/>
        <w:tblLook w:val="04A0" w:firstRow="1" w:lastRow="0" w:firstColumn="1" w:lastColumn="0" w:noHBand="0" w:noVBand="1"/>
      </w:tblPr>
      <w:tblGrid>
        <w:gridCol w:w="2591"/>
        <w:gridCol w:w="4826"/>
        <w:gridCol w:w="4339"/>
      </w:tblGrid>
      <w:tr w:rsidR="00C50CF8" w:rsidRPr="000F3E5C" w14:paraId="75D9D4D2" w14:textId="77777777" w:rsidTr="009B7C4F">
        <w:trPr>
          <w:trHeight w:val="841"/>
        </w:trPr>
        <w:tc>
          <w:tcPr>
            <w:tcW w:w="11756" w:type="dxa"/>
            <w:gridSpan w:val="3"/>
          </w:tcPr>
          <w:p w14:paraId="4FD7FB41" w14:textId="7C503D40" w:rsidR="006A469B" w:rsidRDefault="00CF5090" w:rsidP="00CF5090">
            <w:pPr>
              <w:rPr>
                <w:rFonts w:ascii="Arial" w:hAnsi="Arial" w:cs="Arial"/>
                <w:sz w:val="22"/>
                <w:szCs w:val="22"/>
              </w:rPr>
            </w:pPr>
            <w:r w:rsidRPr="00CF5090">
              <w:rPr>
                <w:rFonts w:ascii="Arial" w:hAnsi="Arial" w:cs="Arial"/>
                <w:sz w:val="22"/>
                <w:szCs w:val="22"/>
              </w:rPr>
              <w:t xml:space="preserve">Güell, </w:t>
            </w:r>
            <w:r>
              <w:rPr>
                <w:rFonts w:ascii="Arial" w:hAnsi="Arial" w:cs="Arial"/>
                <w:sz w:val="22"/>
                <w:szCs w:val="22"/>
              </w:rPr>
              <w:t>P</w:t>
            </w:r>
            <w:r w:rsidR="009B7C4F">
              <w:rPr>
                <w:rFonts w:ascii="Arial" w:hAnsi="Arial" w:cs="Arial"/>
                <w:sz w:val="22"/>
                <w:szCs w:val="22"/>
              </w:rPr>
              <w:t>.</w:t>
            </w:r>
            <w:r w:rsidRPr="00CF5090">
              <w:rPr>
                <w:rFonts w:ascii="Arial" w:hAnsi="Arial" w:cs="Arial"/>
                <w:sz w:val="22"/>
                <w:szCs w:val="22"/>
              </w:rPr>
              <w:t xml:space="preserve"> M</w:t>
            </w:r>
            <w:r w:rsidR="009B7C4F">
              <w:rPr>
                <w:rFonts w:ascii="Arial" w:hAnsi="Arial" w:cs="Arial"/>
                <w:sz w:val="22"/>
                <w:szCs w:val="22"/>
              </w:rPr>
              <w:t>orales</w:t>
            </w:r>
            <w:r w:rsidRPr="00CF5090">
              <w:rPr>
                <w:rFonts w:ascii="Arial" w:hAnsi="Arial" w:cs="Arial"/>
                <w:sz w:val="22"/>
                <w:szCs w:val="22"/>
              </w:rPr>
              <w:t>, R</w:t>
            </w:r>
            <w:r w:rsidR="009B7C4F">
              <w:rPr>
                <w:rFonts w:ascii="Arial" w:hAnsi="Arial" w:cs="Arial"/>
                <w:sz w:val="22"/>
                <w:szCs w:val="22"/>
              </w:rPr>
              <w:t>.</w:t>
            </w:r>
            <w:r w:rsidRPr="00CF5090">
              <w:rPr>
                <w:rFonts w:ascii="Arial" w:hAnsi="Arial" w:cs="Arial"/>
                <w:sz w:val="22"/>
                <w:szCs w:val="22"/>
              </w:rPr>
              <w:t xml:space="preserve"> Núñez, T. (2011). Tipología de prácticas de consumo cultural en Chile a principios del siglo XXI: </w:t>
            </w:r>
            <w:r w:rsidRPr="009B7C4F">
              <w:rPr>
                <w:rFonts w:ascii="Arial" w:hAnsi="Arial" w:cs="Arial"/>
                <w:i/>
                <w:iCs/>
                <w:sz w:val="22"/>
                <w:szCs w:val="22"/>
              </w:rPr>
              <w:t>mismas desigualdades, prácticas emergentes, nuevos desafíos</w:t>
            </w:r>
            <w:r w:rsidRPr="00CF5090">
              <w:rPr>
                <w:rFonts w:ascii="Arial" w:hAnsi="Arial" w:cs="Arial"/>
                <w:sz w:val="22"/>
                <w:szCs w:val="22"/>
              </w:rPr>
              <w:t xml:space="preserve">. </w:t>
            </w:r>
            <w:r w:rsidR="009B7C4F">
              <w:rPr>
                <w:rFonts w:ascii="Arial" w:hAnsi="Arial" w:cs="Arial"/>
                <w:sz w:val="22"/>
                <w:szCs w:val="22"/>
              </w:rPr>
              <w:t xml:space="preserve">Recuperado de </w:t>
            </w:r>
            <w:commentRangeStart w:id="0"/>
            <w:r w:rsidR="009B7C4F">
              <w:fldChar w:fldCharType="begin"/>
            </w:r>
            <w:r w:rsidR="009B7C4F">
              <w:instrText>HYPERLINK "https://dx.doi.org/10.4067/S0718-23762011000200007"</w:instrText>
            </w:r>
            <w:r w:rsidR="009B7C4F">
              <w:fldChar w:fldCharType="separate"/>
            </w:r>
            <w:r w:rsidR="009B7C4F" w:rsidRPr="00BF37E0">
              <w:rPr>
                <w:rStyle w:val="Hipervnculo"/>
                <w:rFonts w:ascii="Arial" w:hAnsi="Arial" w:cs="Arial"/>
                <w:sz w:val="22"/>
                <w:szCs w:val="22"/>
              </w:rPr>
              <w:t>https://dx.doi.org/10.4067/S0718-23762011000200007</w:t>
            </w:r>
            <w:r w:rsidR="009B7C4F">
              <w:rPr>
                <w:rStyle w:val="Hipervnculo"/>
                <w:rFonts w:ascii="Arial" w:hAnsi="Arial" w:cs="Arial"/>
                <w:sz w:val="22"/>
                <w:szCs w:val="22"/>
              </w:rPr>
              <w:fldChar w:fldCharType="end"/>
            </w:r>
            <w:commentRangeEnd w:id="0"/>
            <w:r w:rsidR="00F85036">
              <w:rPr>
                <w:rStyle w:val="Refdecomentario"/>
              </w:rPr>
              <w:commentReference w:id="0"/>
            </w:r>
          </w:p>
          <w:p w14:paraId="46DF0BF0" w14:textId="42F2ED37" w:rsidR="009B7C4F" w:rsidRPr="006A469B" w:rsidRDefault="009B7C4F" w:rsidP="00CF5090">
            <w:pPr>
              <w:rPr>
                <w:rFonts w:ascii="Arial" w:hAnsi="Arial" w:cs="Arial"/>
                <w:sz w:val="22"/>
                <w:szCs w:val="22"/>
              </w:rPr>
            </w:pPr>
          </w:p>
        </w:tc>
      </w:tr>
      <w:tr w:rsidR="00AD2341" w:rsidRPr="000F3E5C" w14:paraId="2AFCA0D0" w14:textId="77777777" w:rsidTr="00AD2341">
        <w:trPr>
          <w:trHeight w:val="243"/>
        </w:trPr>
        <w:tc>
          <w:tcPr>
            <w:tcW w:w="2591" w:type="dxa"/>
            <w:vMerge w:val="restart"/>
          </w:tcPr>
          <w:p w14:paraId="5DE761BE" w14:textId="77777777" w:rsidR="00AD2341" w:rsidRPr="000F3E5C" w:rsidRDefault="00AD2341" w:rsidP="00AD2341">
            <w:pPr>
              <w:rPr>
                <w:rFonts w:ascii="Arial" w:hAnsi="Arial" w:cs="Arial"/>
                <w:sz w:val="22"/>
                <w:szCs w:val="22"/>
              </w:rPr>
            </w:pPr>
          </w:p>
          <w:p w14:paraId="07F55F57" w14:textId="77777777" w:rsidR="00AD2341" w:rsidRPr="000F3E5C" w:rsidRDefault="00AD2341" w:rsidP="00AD2341">
            <w:pPr>
              <w:rPr>
                <w:rFonts w:ascii="Arial" w:hAnsi="Arial" w:cs="Arial"/>
                <w:sz w:val="22"/>
                <w:szCs w:val="22"/>
              </w:rPr>
            </w:pPr>
          </w:p>
          <w:p w14:paraId="0D257899" w14:textId="77777777" w:rsidR="00AD2341" w:rsidRPr="000F3E5C" w:rsidRDefault="00AD2341" w:rsidP="00AD2341">
            <w:pPr>
              <w:rPr>
                <w:rFonts w:ascii="Arial" w:hAnsi="Arial" w:cs="Arial"/>
                <w:sz w:val="22"/>
                <w:szCs w:val="22"/>
              </w:rPr>
            </w:pPr>
          </w:p>
          <w:p w14:paraId="4545C1FC" w14:textId="77777777" w:rsidR="00AD2341" w:rsidRPr="000F3E5C" w:rsidRDefault="00AD2341" w:rsidP="00AD2341">
            <w:pPr>
              <w:rPr>
                <w:rFonts w:ascii="Arial" w:hAnsi="Arial" w:cs="Arial"/>
                <w:sz w:val="22"/>
                <w:szCs w:val="22"/>
              </w:rPr>
            </w:pPr>
          </w:p>
          <w:p w14:paraId="40C665F0" w14:textId="71903B74" w:rsidR="00AD2341" w:rsidRPr="000F3E5C" w:rsidRDefault="00AD2341" w:rsidP="00AD2341">
            <w:pPr>
              <w:rPr>
                <w:rFonts w:ascii="Arial" w:hAnsi="Arial" w:cs="Arial"/>
                <w:sz w:val="22"/>
                <w:szCs w:val="22"/>
              </w:rPr>
            </w:pPr>
            <w:r w:rsidRPr="000F3E5C">
              <w:rPr>
                <w:rFonts w:ascii="Arial" w:hAnsi="Arial" w:cs="Arial"/>
                <w:sz w:val="22"/>
                <w:szCs w:val="22"/>
              </w:rPr>
              <w:t>Definición de conceptos principales</w:t>
            </w:r>
          </w:p>
        </w:tc>
        <w:tc>
          <w:tcPr>
            <w:tcW w:w="4826" w:type="dxa"/>
            <w:vMerge w:val="restart"/>
          </w:tcPr>
          <w:p w14:paraId="5AE681D8" w14:textId="30B68610" w:rsidR="00AD2341" w:rsidRDefault="00C072EB" w:rsidP="001B5F51">
            <w:pPr>
              <w:jc w:val="both"/>
              <w:rPr>
                <w:rFonts w:ascii="Arial" w:hAnsi="Arial" w:cs="Arial"/>
                <w:sz w:val="22"/>
                <w:szCs w:val="22"/>
              </w:rPr>
            </w:pPr>
            <w:r w:rsidRPr="006A469B">
              <w:rPr>
                <w:rFonts w:ascii="Arial" w:hAnsi="Arial" w:cs="Arial"/>
                <w:b/>
                <w:bCs/>
                <w:sz w:val="22"/>
                <w:szCs w:val="22"/>
              </w:rPr>
              <w:t>Consumo cultural</w:t>
            </w:r>
            <w:r w:rsidRPr="00C03A47">
              <w:rPr>
                <w:rFonts w:ascii="Arial" w:hAnsi="Arial" w:cs="Arial"/>
                <w:b/>
                <w:bCs/>
                <w:sz w:val="22"/>
                <w:szCs w:val="22"/>
              </w:rPr>
              <w:t>:</w:t>
            </w:r>
            <w:r w:rsidR="001B5F51">
              <w:rPr>
                <w:rFonts w:ascii="Arial" w:hAnsi="Arial" w:cs="Arial"/>
                <w:sz w:val="22"/>
                <w:szCs w:val="22"/>
              </w:rPr>
              <w:t xml:space="preserve"> </w:t>
            </w:r>
            <w:r w:rsidR="00C03A47">
              <w:rPr>
                <w:rFonts w:ascii="Arial" w:hAnsi="Arial" w:cs="Arial"/>
                <w:sz w:val="22"/>
                <w:szCs w:val="22"/>
              </w:rPr>
              <w:t>se refiere al acceso y la participación en bienes y servicios culturales que son producidos socialmente, abarcando el nivel de acceso como también la frecuencia con la que se involucran en actividades culturales</w:t>
            </w:r>
          </w:p>
          <w:p w14:paraId="0346009D" w14:textId="77777777" w:rsidR="00C03A47" w:rsidRDefault="00C03A47" w:rsidP="001B5F51">
            <w:pPr>
              <w:jc w:val="both"/>
              <w:rPr>
                <w:rFonts w:ascii="Arial" w:hAnsi="Arial" w:cs="Arial"/>
                <w:sz w:val="22"/>
                <w:szCs w:val="22"/>
              </w:rPr>
            </w:pPr>
            <w:r w:rsidRPr="00C03A47">
              <w:rPr>
                <w:rFonts w:ascii="Arial" w:hAnsi="Arial" w:cs="Arial"/>
                <w:b/>
                <w:bCs/>
                <w:sz w:val="22"/>
                <w:szCs w:val="22"/>
              </w:rPr>
              <w:t>Nivel socioeconómico:</w:t>
            </w:r>
            <w:r>
              <w:rPr>
                <w:rFonts w:ascii="Arial" w:hAnsi="Arial" w:cs="Arial"/>
                <w:b/>
                <w:bCs/>
                <w:sz w:val="22"/>
                <w:szCs w:val="22"/>
              </w:rPr>
              <w:t xml:space="preserve"> </w:t>
            </w:r>
            <w:r w:rsidRPr="00C03A47">
              <w:rPr>
                <w:rFonts w:ascii="Arial" w:hAnsi="Arial" w:cs="Arial"/>
                <w:sz w:val="22"/>
                <w:szCs w:val="22"/>
              </w:rPr>
              <w:t>se examina como el</w:t>
            </w:r>
            <w:r>
              <w:rPr>
                <w:rFonts w:ascii="Arial" w:hAnsi="Arial" w:cs="Arial"/>
                <w:sz w:val="22"/>
                <w:szCs w:val="22"/>
              </w:rPr>
              <w:t xml:space="preserve"> acceso a la cultura varía según el nivel socioeconómico, mostrando que las personas con mayores recursos económicos y educativos tienden a tener mayor acceso a actividades culturales</w:t>
            </w:r>
          </w:p>
          <w:p w14:paraId="16418686" w14:textId="2CCE03A4" w:rsidR="00C03A47" w:rsidRPr="004D1B98" w:rsidRDefault="00C03A47" w:rsidP="001B5F51">
            <w:pPr>
              <w:jc w:val="both"/>
              <w:rPr>
                <w:rFonts w:ascii="Arial" w:hAnsi="Arial" w:cs="Arial"/>
                <w:sz w:val="22"/>
                <w:szCs w:val="22"/>
              </w:rPr>
            </w:pPr>
            <w:r w:rsidRPr="00C03A47">
              <w:rPr>
                <w:rFonts w:ascii="Arial" w:hAnsi="Arial" w:cs="Arial"/>
                <w:b/>
                <w:bCs/>
                <w:sz w:val="22"/>
                <w:szCs w:val="22"/>
              </w:rPr>
              <w:t>Medios de acceso:</w:t>
            </w:r>
            <w:r w:rsidR="004D1B98">
              <w:rPr>
                <w:rFonts w:ascii="Arial" w:hAnsi="Arial" w:cs="Arial"/>
                <w:b/>
                <w:bCs/>
                <w:sz w:val="22"/>
                <w:szCs w:val="22"/>
              </w:rPr>
              <w:t xml:space="preserve"> </w:t>
            </w:r>
            <w:r w:rsidR="004D1B98">
              <w:rPr>
                <w:rFonts w:ascii="Arial" w:hAnsi="Arial" w:cs="Arial"/>
                <w:sz w:val="22"/>
                <w:szCs w:val="22"/>
              </w:rPr>
              <w:t>la tecnología ha transformado los modos en que las personas acceden a los bienes culturales, permitiendo el acceso a bienes que antes requerían presencia física, esto es clave para entender como la música es consumida digitalmente también</w:t>
            </w:r>
          </w:p>
        </w:tc>
        <w:tc>
          <w:tcPr>
            <w:tcW w:w="4339" w:type="dxa"/>
          </w:tcPr>
          <w:p w14:paraId="6AD29074" w14:textId="39362B19" w:rsidR="00AD2341" w:rsidRPr="000F3E5C" w:rsidRDefault="00AD2341" w:rsidP="00AD2341">
            <w:pPr>
              <w:rPr>
                <w:rFonts w:ascii="Arial" w:hAnsi="Arial" w:cs="Arial"/>
                <w:sz w:val="22"/>
                <w:szCs w:val="22"/>
              </w:rPr>
            </w:pPr>
            <w:r w:rsidRPr="000F3E5C">
              <w:rPr>
                <w:rFonts w:ascii="Arial" w:hAnsi="Arial" w:cs="Arial"/>
                <w:sz w:val="22"/>
                <w:szCs w:val="22"/>
              </w:rPr>
              <w:t>Citas</w:t>
            </w:r>
          </w:p>
        </w:tc>
      </w:tr>
      <w:tr w:rsidR="00AD2341" w:rsidRPr="000F3E5C" w14:paraId="7D06BCD1" w14:textId="77777777" w:rsidTr="00A75D81">
        <w:trPr>
          <w:trHeight w:val="4093"/>
        </w:trPr>
        <w:tc>
          <w:tcPr>
            <w:tcW w:w="2591" w:type="dxa"/>
            <w:vMerge/>
          </w:tcPr>
          <w:p w14:paraId="4C9BCA40" w14:textId="77777777" w:rsidR="00AD2341" w:rsidRPr="000F3E5C" w:rsidRDefault="00AD2341" w:rsidP="00AD2341">
            <w:pPr>
              <w:rPr>
                <w:rFonts w:ascii="Arial" w:hAnsi="Arial" w:cs="Arial"/>
                <w:sz w:val="22"/>
                <w:szCs w:val="22"/>
              </w:rPr>
            </w:pPr>
          </w:p>
        </w:tc>
        <w:tc>
          <w:tcPr>
            <w:tcW w:w="4826" w:type="dxa"/>
            <w:vMerge/>
          </w:tcPr>
          <w:p w14:paraId="0FAAC994" w14:textId="77777777" w:rsidR="00AD2341" w:rsidRPr="000F3E5C" w:rsidRDefault="00AD2341" w:rsidP="00AD2341">
            <w:pPr>
              <w:rPr>
                <w:rFonts w:ascii="Arial" w:hAnsi="Arial" w:cs="Arial"/>
                <w:sz w:val="22"/>
                <w:szCs w:val="22"/>
              </w:rPr>
            </w:pPr>
          </w:p>
        </w:tc>
        <w:tc>
          <w:tcPr>
            <w:tcW w:w="4339" w:type="dxa"/>
          </w:tcPr>
          <w:p w14:paraId="110BCB43" w14:textId="39C649A2" w:rsidR="004D1B98" w:rsidRDefault="004D1B98" w:rsidP="001B5F51">
            <w:pPr>
              <w:jc w:val="both"/>
              <w:rPr>
                <w:rFonts w:ascii="Arial" w:hAnsi="Arial" w:cs="Arial"/>
                <w:sz w:val="22"/>
                <w:szCs w:val="22"/>
              </w:rPr>
            </w:pPr>
            <w:r>
              <w:rPr>
                <w:rFonts w:ascii="Arial" w:hAnsi="Arial" w:cs="Arial"/>
                <w:sz w:val="22"/>
                <w:szCs w:val="22"/>
              </w:rPr>
              <w:t xml:space="preserve">“El consumo cultural ha sido definido como el acceso y frecuencia de participación en la apropiación de un bien y de un servicio cultural producido socialmente”. </w:t>
            </w:r>
            <w:r w:rsidRPr="004D1B98">
              <w:rPr>
                <w:rFonts w:ascii="Arial" w:hAnsi="Arial" w:cs="Arial"/>
                <w:sz w:val="22"/>
                <w:szCs w:val="22"/>
              </w:rPr>
              <w:t>(Güell, Morales y Núñez, 2011)</w:t>
            </w:r>
          </w:p>
          <w:p w14:paraId="79D03843" w14:textId="7E85915C" w:rsidR="004D1B98" w:rsidRDefault="004D1B98" w:rsidP="001B5F51">
            <w:pPr>
              <w:jc w:val="both"/>
              <w:rPr>
                <w:rFonts w:ascii="Arial" w:hAnsi="Arial" w:cs="Arial"/>
                <w:sz w:val="22"/>
                <w:szCs w:val="22"/>
              </w:rPr>
            </w:pPr>
            <w:r>
              <w:rPr>
                <w:rFonts w:ascii="Arial" w:hAnsi="Arial" w:cs="Arial"/>
                <w:sz w:val="22"/>
                <w:szCs w:val="22"/>
              </w:rPr>
              <w:t>“Los niveles de acceso más altos corresponden principalmente a personas del estrato ABC1”.</w:t>
            </w:r>
            <w:r w:rsidR="00A75D81">
              <w:rPr>
                <w:rFonts w:ascii="Arial" w:hAnsi="Arial" w:cs="Arial"/>
                <w:sz w:val="22"/>
                <w:szCs w:val="22"/>
              </w:rPr>
              <w:t xml:space="preserve"> </w:t>
            </w:r>
            <w:r w:rsidR="00A75D81" w:rsidRPr="00A75D81">
              <w:rPr>
                <w:rFonts w:ascii="Arial" w:hAnsi="Arial" w:cs="Arial"/>
                <w:sz w:val="22"/>
                <w:szCs w:val="22"/>
              </w:rPr>
              <w:t>(Güell, Morales y Núñez, 2011)</w:t>
            </w:r>
          </w:p>
          <w:p w14:paraId="07A0CC95" w14:textId="6FD81FB4" w:rsidR="00AD2341" w:rsidRDefault="004D1B98" w:rsidP="001B5F51">
            <w:pPr>
              <w:jc w:val="both"/>
              <w:rPr>
                <w:rFonts w:ascii="Arial" w:hAnsi="Arial" w:cs="Arial"/>
                <w:sz w:val="22"/>
                <w:szCs w:val="22"/>
              </w:rPr>
            </w:pPr>
            <w:r>
              <w:rPr>
                <w:rFonts w:ascii="Arial" w:hAnsi="Arial" w:cs="Arial"/>
                <w:sz w:val="22"/>
                <w:szCs w:val="22"/>
              </w:rPr>
              <w:t xml:space="preserve">“El uso de las tecnologías como instancias mediadoras del consumo cultural, han configurado un tipo de consumidor que puede acceder a un sinfín de nuevos bienes y servicios culturales, donde la presencia no es un factor determinante”. </w:t>
            </w:r>
            <w:r w:rsidR="00CF5090">
              <w:rPr>
                <w:rFonts w:ascii="Arial" w:hAnsi="Arial" w:cs="Arial"/>
                <w:sz w:val="22"/>
                <w:szCs w:val="22"/>
              </w:rPr>
              <w:t>(</w:t>
            </w:r>
            <w:r w:rsidR="00097FC4" w:rsidRPr="00097FC4">
              <w:rPr>
                <w:rFonts w:ascii="Arial" w:hAnsi="Arial" w:cs="Arial"/>
                <w:sz w:val="22"/>
                <w:szCs w:val="22"/>
              </w:rPr>
              <w:t>Güell,</w:t>
            </w:r>
            <w:r w:rsidR="00CF5090">
              <w:rPr>
                <w:rFonts w:ascii="Arial" w:hAnsi="Arial" w:cs="Arial"/>
                <w:sz w:val="22"/>
                <w:szCs w:val="22"/>
              </w:rPr>
              <w:t xml:space="preserve"> </w:t>
            </w:r>
            <w:r w:rsidR="00097FC4" w:rsidRPr="00097FC4">
              <w:rPr>
                <w:rFonts w:ascii="Arial" w:hAnsi="Arial" w:cs="Arial"/>
                <w:sz w:val="22"/>
                <w:szCs w:val="22"/>
              </w:rPr>
              <w:t xml:space="preserve">Morales </w:t>
            </w:r>
            <w:r w:rsidR="00CF5090">
              <w:rPr>
                <w:rFonts w:ascii="Arial" w:hAnsi="Arial" w:cs="Arial"/>
                <w:sz w:val="22"/>
                <w:szCs w:val="22"/>
              </w:rPr>
              <w:t>y</w:t>
            </w:r>
            <w:r w:rsidR="00097FC4" w:rsidRPr="00097FC4">
              <w:rPr>
                <w:rFonts w:ascii="Arial" w:hAnsi="Arial" w:cs="Arial"/>
                <w:sz w:val="22"/>
                <w:szCs w:val="22"/>
              </w:rPr>
              <w:t xml:space="preserve"> Núñez, 2011)</w:t>
            </w:r>
          </w:p>
          <w:p w14:paraId="2603DB74" w14:textId="63EF551B" w:rsidR="004D1B98" w:rsidRPr="000F3E5C" w:rsidRDefault="004D1B98" w:rsidP="001B5F51">
            <w:pPr>
              <w:jc w:val="both"/>
              <w:rPr>
                <w:rFonts w:ascii="Arial" w:hAnsi="Arial" w:cs="Arial"/>
                <w:sz w:val="22"/>
                <w:szCs w:val="22"/>
              </w:rPr>
            </w:pPr>
          </w:p>
        </w:tc>
      </w:tr>
      <w:tr w:rsidR="00C50CF8" w:rsidRPr="000F3E5C" w14:paraId="0FAAC467" w14:textId="77777777" w:rsidTr="00AD2341">
        <w:trPr>
          <w:trHeight w:val="3509"/>
        </w:trPr>
        <w:tc>
          <w:tcPr>
            <w:tcW w:w="2591" w:type="dxa"/>
          </w:tcPr>
          <w:p w14:paraId="5F7ED71F" w14:textId="77777777" w:rsidR="00AD2341" w:rsidRPr="000F3E5C" w:rsidRDefault="00AD2341" w:rsidP="00AD2341">
            <w:pPr>
              <w:rPr>
                <w:rFonts w:ascii="Arial" w:hAnsi="Arial" w:cs="Arial"/>
                <w:sz w:val="22"/>
                <w:szCs w:val="22"/>
              </w:rPr>
            </w:pPr>
          </w:p>
          <w:p w14:paraId="145AC94E" w14:textId="77777777" w:rsidR="00AD2341" w:rsidRPr="000F3E5C" w:rsidRDefault="00AD2341" w:rsidP="00AD2341">
            <w:pPr>
              <w:rPr>
                <w:rFonts w:ascii="Arial" w:hAnsi="Arial" w:cs="Arial"/>
                <w:sz w:val="22"/>
                <w:szCs w:val="22"/>
              </w:rPr>
            </w:pPr>
          </w:p>
          <w:p w14:paraId="0DA29FFE" w14:textId="77777777" w:rsidR="00AD2341" w:rsidRPr="000F3E5C" w:rsidRDefault="00AD2341" w:rsidP="00AD2341">
            <w:pPr>
              <w:rPr>
                <w:rFonts w:ascii="Arial" w:hAnsi="Arial" w:cs="Arial"/>
                <w:sz w:val="22"/>
                <w:szCs w:val="22"/>
              </w:rPr>
            </w:pPr>
          </w:p>
          <w:p w14:paraId="6AEEC1CC" w14:textId="77777777" w:rsidR="00AD2341" w:rsidRPr="000F3E5C" w:rsidRDefault="00AD2341" w:rsidP="00AD2341">
            <w:pPr>
              <w:rPr>
                <w:rFonts w:ascii="Arial" w:hAnsi="Arial" w:cs="Arial"/>
                <w:sz w:val="22"/>
                <w:szCs w:val="22"/>
              </w:rPr>
            </w:pPr>
          </w:p>
          <w:p w14:paraId="2A6EA31B" w14:textId="77777777" w:rsidR="00AD2341" w:rsidRPr="000F3E5C" w:rsidRDefault="00AD2341" w:rsidP="00AD2341">
            <w:pPr>
              <w:rPr>
                <w:rFonts w:ascii="Arial" w:hAnsi="Arial" w:cs="Arial"/>
                <w:sz w:val="22"/>
                <w:szCs w:val="22"/>
              </w:rPr>
            </w:pPr>
          </w:p>
          <w:p w14:paraId="38B209FB" w14:textId="648DAE8F" w:rsidR="00C50CF8" w:rsidRPr="000F3E5C" w:rsidRDefault="00C50CF8" w:rsidP="00AD2341">
            <w:pPr>
              <w:rPr>
                <w:rFonts w:ascii="Arial" w:hAnsi="Arial" w:cs="Arial"/>
                <w:sz w:val="22"/>
                <w:szCs w:val="22"/>
              </w:rPr>
            </w:pPr>
            <w:r w:rsidRPr="000F3E5C">
              <w:rPr>
                <w:rFonts w:ascii="Arial" w:hAnsi="Arial" w:cs="Arial"/>
                <w:sz w:val="22"/>
                <w:szCs w:val="22"/>
              </w:rPr>
              <w:t>Forma de operacionalización</w:t>
            </w:r>
          </w:p>
        </w:tc>
        <w:tc>
          <w:tcPr>
            <w:tcW w:w="4826" w:type="dxa"/>
          </w:tcPr>
          <w:p w14:paraId="2135A16D" w14:textId="32C123DA" w:rsidR="00C50CF8" w:rsidRPr="000F3E5C" w:rsidRDefault="006A469B" w:rsidP="006A469B">
            <w:pPr>
              <w:jc w:val="both"/>
              <w:rPr>
                <w:rFonts w:ascii="Arial" w:hAnsi="Arial" w:cs="Arial"/>
                <w:sz w:val="22"/>
                <w:szCs w:val="22"/>
              </w:rPr>
            </w:pPr>
            <w:r>
              <w:rPr>
                <w:rFonts w:ascii="Arial" w:hAnsi="Arial" w:cs="Arial"/>
                <w:sz w:val="22"/>
                <w:szCs w:val="22"/>
              </w:rPr>
              <w:t>El concepto de consumo cultural se ha operacionalizado considerando tres aspectos claves, el primero: el acceso o la falta de acceso a ciertos bienes y servicios culturales, el segundo: la frecuencia de acceso, medida según la recurrencia en el consumo de estos bienes y servicios durante los últimos 12 meses, con respuestas que varían desde todas las semanas hasta una vez al año, y el tercero: las razones de no acceso, que incluyen la falta de interés, tiempo, dinero, información, costumbre, preparación, o la ausencia de espacios adecuados en la comuna o el barrio</w:t>
            </w:r>
          </w:p>
        </w:tc>
        <w:tc>
          <w:tcPr>
            <w:tcW w:w="4339" w:type="dxa"/>
          </w:tcPr>
          <w:p w14:paraId="360605B3" w14:textId="6CFE0260" w:rsidR="006A469B" w:rsidRPr="006A469B" w:rsidRDefault="006A469B" w:rsidP="006A469B">
            <w:pPr>
              <w:jc w:val="both"/>
              <w:rPr>
                <w:rFonts w:ascii="Arial" w:hAnsi="Arial" w:cs="Arial"/>
                <w:sz w:val="22"/>
                <w:szCs w:val="22"/>
              </w:rPr>
            </w:pPr>
            <w:r>
              <w:rPr>
                <w:rFonts w:ascii="Arial" w:hAnsi="Arial" w:cs="Arial"/>
                <w:sz w:val="22"/>
                <w:szCs w:val="22"/>
              </w:rPr>
              <w:t xml:space="preserve">El </w:t>
            </w:r>
            <w:r w:rsidRPr="006A469B">
              <w:rPr>
                <w:rFonts w:ascii="Arial" w:hAnsi="Arial" w:cs="Arial"/>
                <w:sz w:val="22"/>
                <w:szCs w:val="22"/>
              </w:rPr>
              <w:t>consumo cultural ha sido operacionalizado como:</w:t>
            </w:r>
          </w:p>
          <w:p w14:paraId="7103BC6A" w14:textId="1782C2C9" w:rsidR="006A469B" w:rsidRPr="006A469B" w:rsidRDefault="006A469B" w:rsidP="006A469B">
            <w:pPr>
              <w:jc w:val="both"/>
              <w:rPr>
                <w:rFonts w:ascii="Arial" w:hAnsi="Arial" w:cs="Arial"/>
                <w:sz w:val="22"/>
                <w:szCs w:val="22"/>
              </w:rPr>
            </w:pPr>
            <w:r w:rsidRPr="006A469B">
              <w:rPr>
                <w:rFonts w:ascii="Arial" w:hAnsi="Arial" w:cs="Arial"/>
                <w:sz w:val="22"/>
                <w:szCs w:val="22"/>
              </w:rPr>
              <w:t>a.   El acceso o no acceso a determinados bienes y servicios culturales;</w:t>
            </w:r>
          </w:p>
          <w:p w14:paraId="00D5A351" w14:textId="67AE0180" w:rsidR="006A469B" w:rsidRPr="006A469B" w:rsidRDefault="006A469B" w:rsidP="006A469B">
            <w:pPr>
              <w:jc w:val="both"/>
              <w:rPr>
                <w:rFonts w:ascii="Arial" w:hAnsi="Arial" w:cs="Arial"/>
                <w:sz w:val="22"/>
                <w:szCs w:val="22"/>
              </w:rPr>
            </w:pPr>
            <w:r w:rsidRPr="006A469B">
              <w:rPr>
                <w:rFonts w:ascii="Arial" w:hAnsi="Arial" w:cs="Arial"/>
                <w:sz w:val="22"/>
                <w:szCs w:val="22"/>
              </w:rPr>
              <w:t>b.   La frecuencia de acceso se ha definido por la recurrencia en el consumo a cada uno de los bienes y servicios que las personas han accedido en los últimos 12 meses del año, cuya respuesta puede ser todas las semanas, 1 vez al mes, 1 vez cada 3 meses, 1 vez cada 6 meses y una vez al año;</w:t>
            </w:r>
          </w:p>
          <w:p w14:paraId="217E91C4" w14:textId="31F5DA6F" w:rsidR="00C50CF8" w:rsidRPr="000F3E5C" w:rsidRDefault="006A469B" w:rsidP="00CF5090">
            <w:pPr>
              <w:jc w:val="both"/>
              <w:rPr>
                <w:rFonts w:ascii="Arial" w:hAnsi="Arial" w:cs="Arial"/>
                <w:sz w:val="22"/>
                <w:szCs w:val="22"/>
              </w:rPr>
            </w:pPr>
            <w:r w:rsidRPr="006A469B">
              <w:rPr>
                <w:rFonts w:ascii="Arial" w:hAnsi="Arial" w:cs="Arial"/>
                <w:sz w:val="22"/>
                <w:szCs w:val="22"/>
              </w:rPr>
              <w:t>c.    Cuál es la razón por la que no asistió, a saber, porque no le interesa o no le gusta, por falta de tiempo, falta de dinero, falta de información, falta de costumbre o preparación y por último porque no existe lugar para el desarrollo de la actividad en la comuna o barrio.</w:t>
            </w:r>
            <w:r w:rsidR="00CF5090">
              <w:rPr>
                <w:rFonts w:ascii="Arial" w:hAnsi="Arial" w:cs="Arial"/>
                <w:sz w:val="22"/>
                <w:szCs w:val="22"/>
              </w:rPr>
              <w:t xml:space="preserve"> </w:t>
            </w:r>
            <w:r w:rsidR="00CF5090" w:rsidRPr="00CF5090">
              <w:t>(Güell, Morales y Núñez, 2011)</w:t>
            </w:r>
          </w:p>
        </w:tc>
      </w:tr>
      <w:tr w:rsidR="00C50CF8" w:rsidRPr="000F3E5C" w14:paraId="5C2ECDFF" w14:textId="77777777" w:rsidTr="00AD2341">
        <w:trPr>
          <w:trHeight w:val="2386"/>
        </w:trPr>
        <w:tc>
          <w:tcPr>
            <w:tcW w:w="2591" w:type="dxa"/>
          </w:tcPr>
          <w:p w14:paraId="2C4B1C3E" w14:textId="77777777" w:rsidR="00AD2341" w:rsidRPr="000F3E5C" w:rsidRDefault="00AD2341" w:rsidP="00AD2341">
            <w:pPr>
              <w:rPr>
                <w:rFonts w:ascii="Arial" w:hAnsi="Arial" w:cs="Arial"/>
                <w:sz w:val="22"/>
                <w:szCs w:val="22"/>
              </w:rPr>
            </w:pPr>
          </w:p>
          <w:p w14:paraId="5A6D8E18" w14:textId="77777777" w:rsidR="00AD2341" w:rsidRPr="000F3E5C" w:rsidRDefault="00AD2341" w:rsidP="00AD2341">
            <w:pPr>
              <w:rPr>
                <w:rFonts w:ascii="Arial" w:hAnsi="Arial" w:cs="Arial"/>
                <w:sz w:val="22"/>
                <w:szCs w:val="22"/>
              </w:rPr>
            </w:pPr>
          </w:p>
          <w:p w14:paraId="36019AB0" w14:textId="77777777" w:rsidR="00AD2341" w:rsidRPr="000F3E5C" w:rsidRDefault="00AD2341" w:rsidP="00AD2341">
            <w:pPr>
              <w:rPr>
                <w:rFonts w:ascii="Arial" w:hAnsi="Arial" w:cs="Arial"/>
                <w:sz w:val="22"/>
                <w:szCs w:val="22"/>
              </w:rPr>
            </w:pPr>
          </w:p>
          <w:p w14:paraId="253D5FBD" w14:textId="37F1100D" w:rsidR="00C50CF8" w:rsidRPr="000F3E5C" w:rsidRDefault="00C50CF8" w:rsidP="00AD2341">
            <w:pPr>
              <w:rPr>
                <w:rFonts w:ascii="Arial" w:hAnsi="Arial" w:cs="Arial"/>
                <w:sz w:val="22"/>
                <w:szCs w:val="22"/>
              </w:rPr>
            </w:pPr>
            <w:r w:rsidRPr="000F3E5C">
              <w:rPr>
                <w:rFonts w:ascii="Arial" w:hAnsi="Arial" w:cs="Arial"/>
                <w:sz w:val="22"/>
                <w:szCs w:val="22"/>
              </w:rPr>
              <w:t>Recuento de la metodología</w:t>
            </w:r>
          </w:p>
        </w:tc>
        <w:tc>
          <w:tcPr>
            <w:tcW w:w="4826" w:type="dxa"/>
          </w:tcPr>
          <w:p w14:paraId="3E8E919A" w14:textId="659AC297" w:rsidR="00C50CF8" w:rsidRPr="00C072EB" w:rsidRDefault="00C072EB" w:rsidP="00C072EB">
            <w:pPr>
              <w:jc w:val="both"/>
              <w:rPr>
                <w:rFonts w:ascii="Arial" w:hAnsi="Arial" w:cs="Arial"/>
                <w:sz w:val="22"/>
                <w:szCs w:val="22"/>
              </w:rPr>
            </w:pPr>
            <w:r>
              <w:rPr>
                <w:rFonts w:ascii="Arial" w:hAnsi="Arial" w:cs="Arial"/>
                <w:sz w:val="22"/>
                <w:szCs w:val="22"/>
              </w:rPr>
              <w:t xml:space="preserve">En este artículo los autores utilizan como metodología técnicas cuantitativas, como el análisis factorial de correspondencias múltiples y el análisis de conglomerados en </w:t>
            </w:r>
            <w:r w:rsidRPr="00C072EB">
              <w:rPr>
                <w:rFonts w:ascii="Arial" w:hAnsi="Arial" w:cs="Arial"/>
                <w:i/>
                <w:iCs/>
                <w:sz w:val="22"/>
                <w:szCs w:val="22"/>
              </w:rPr>
              <w:t>TwoStepCluster</w:t>
            </w:r>
            <w:r>
              <w:rPr>
                <w:rFonts w:ascii="Arial" w:hAnsi="Arial" w:cs="Arial"/>
                <w:i/>
                <w:iCs/>
                <w:sz w:val="22"/>
                <w:szCs w:val="22"/>
              </w:rPr>
              <w:t xml:space="preserve">, </w:t>
            </w:r>
            <w:r>
              <w:rPr>
                <w:rFonts w:ascii="Arial" w:hAnsi="Arial" w:cs="Arial"/>
                <w:sz w:val="22"/>
                <w:szCs w:val="22"/>
              </w:rPr>
              <w:t xml:space="preserve">para identificar patrones de consumo cultural en Chile, se seleccionaron variables relacionadas con el acceso, la frecuencia y las razones de no acceso a bienes y servicios culturales (teatro, cine, música) tras varios intentos se agruparon los consumidores en cinco grupos homogéneos, sin distinción clara por preferencias culturales (alta y baja </w:t>
            </w:r>
            <w:commentRangeStart w:id="1"/>
            <w:r>
              <w:rPr>
                <w:rFonts w:ascii="Arial" w:hAnsi="Arial" w:cs="Arial"/>
                <w:sz w:val="22"/>
                <w:szCs w:val="22"/>
              </w:rPr>
              <w:t>cultura</w:t>
            </w:r>
            <w:commentRangeEnd w:id="1"/>
            <w:r w:rsidR="00F85036">
              <w:rPr>
                <w:rStyle w:val="Refdecomentario"/>
              </w:rPr>
              <w:commentReference w:id="1"/>
            </w:r>
            <w:r>
              <w:rPr>
                <w:rFonts w:ascii="Arial" w:hAnsi="Arial" w:cs="Arial"/>
                <w:sz w:val="22"/>
                <w:szCs w:val="22"/>
              </w:rPr>
              <w:t xml:space="preserve">). </w:t>
            </w:r>
          </w:p>
        </w:tc>
        <w:tc>
          <w:tcPr>
            <w:tcW w:w="4339" w:type="dxa"/>
          </w:tcPr>
          <w:p w14:paraId="7E74A6C5" w14:textId="3878E216" w:rsidR="00C50CF8" w:rsidRPr="000F3E5C" w:rsidRDefault="001B5F51" w:rsidP="001B5F51">
            <w:pPr>
              <w:jc w:val="both"/>
              <w:rPr>
                <w:rFonts w:ascii="Arial" w:hAnsi="Arial" w:cs="Arial"/>
                <w:sz w:val="22"/>
                <w:szCs w:val="22"/>
              </w:rPr>
            </w:pPr>
            <w:r>
              <w:rPr>
                <w:rFonts w:ascii="Arial" w:hAnsi="Arial" w:cs="Arial"/>
                <w:sz w:val="22"/>
                <w:szCs w:val="22"/>
              </w:rPr>
              <w:t>P</w:t>
            </w:r>
            <w:r w:rsidRPr="001B5F51">
              <w:rPr>
                <w:rFonts w:ascii="Arial" w:hAnsi="Arial" w:cs="Arial"/>
                <w:sz w:val="22"/>
                <w:szCs w:val="22"/>
              </w:rPr>
              <w:t>ara caracterizar con mayor detalle al grupo de los consumidores, se introdujeron las variables de frecuencia de consumo al análisis multivariante de conglomerados, lo que sí estructuró diferencias relevantes.</w:t>
            </w:r>
            <w:r>
              <w:rPr>
                <w:rFonts w:ascii="Arial" w:hAnsi="Arial" w:cs="Arial"/>
                <w:sz w:val="22"/>
                <w:szCs w:val="22"/>
              </w:rPr>
              <w:t xml:space="preserve"> </w:t>
            </w:r>
            <w:r w:rsidRPr="001B5F51">
              <w:rPr>
                <w:rFonts w:ascii="Arial" w:hAnsi="Arial" w:cs="Arial"/>
                <w:sz w:val="22"/>
                <w:szCs w:val="22"/>
              </w:rPr>
              <w:t>Las variables seleccionadas fueron sometidas a un análisis de conglomerados que arrojó 5 tipos o grupos que presentan alta homogeneidad interna e importantes diferencias entre sí.</w:t>
            </w:r>
            <w:r>
              <w:rPr>
                <w:rFonts w:ascii="Arial" w:hAnsi="Arial" w:cs="Arial"/>
                <w:sz w:val="22"/>
                <w:szCs w:val="22"/>
              </w:rPr>
              <w:t xml:space="preserve"> </w:t>
            </w:r>
            <w:r w:rsidRPr="001B5F51">
              <w:rPr>
                <w:rFonts w:ascii="Arial" w:hAnsi="Arial" w:cs="Arial"/>
                <w:sz w:val="22"/>
                <w:szCs w:val="22"/>
              </w:rPr>
              <w:t xml:space="preserve">Finalmente, las tipologías han sido construidas formando cinco tipos o grupos por el procedimiento </w:t>
            </w:r>
            <w:r w:rsidRPr="006A469B">
              <w:rPr>
                <w:rFonts w:ascii="Arial" w:hAnsi="Arial" w:cs="Arial"/>
                <w:i/>
                <w:iCs/>
                <w:sz w:val="22"/>
                <w:szCs w:val="22"/>
              </w:rPr>
              <w:t>TwoStepCluster</w:t>
            </w:r>
            <w:r w:rsidRPr="001B5F51">
              <w:rPr>
                <w:rFonts w:ascii="Arial" w:hAnsi="Arial" w:cs="Arial"/>
                <w:sz w:val="22"/>
                <w:szCs w:val="22"/>
              </w:rPr>
              <w:t xml:space="preserve"> a partir de las variables de a) acceso a los bienes y servicios, b) frecuencia del acceso y c) razones de no acceso de los siguientes bienes y servicios culturales: artes visuales, teatro, danza, conciertos, cine, películas de video, música, libros, bibliotecas, museos, diarios e internet.</w:t>
            </w:r>
            <w:r w:rsidR="00097FC4">
              <w:rPr>
                <w:rFonts w:ascii="Arial" w:hAnsi="Arial" w:cs="Arial"/>
                <w:sz w:val="22"/>
                <w:szCs w:val="22"/>
              </w:rPr>
              <w:t xml:space="preserve"> </w:t>
            </w:r>
            <w:r w:rsidR="00CF5090" w:rsidRPr="00CF5090">
              <w:rPr>
                <w:rFonts w:ascii="Arial" w:hAnsi="Arial" w:cs="Arial"/>
                <w:sz w:val="22"/>
                <w:szCs w:val="22"/>
              </w:rPr>
              <w:t>(Güell, Morales y Núñez, 2011)</w:t>
            </w:r>
          </w:p>
        </w:tc>
      </w:tr>
      <w:tr w:rsidR="00C50CF8" w:rsidRPr="000F3E5C" w14:paraId="151B4E9A" w14:textId="77777777" w:rsidTr="002F2EC4">
        <w:trPr>
          <w:trHeight w:val="5717"/>
        </w:trPr>
        <w:tc>
          <w:tcPr>
            <w:tcW w:w="2591" w:type="dxa"/>
          </w:tcPr>
          <w:p w14:paraId="483E72AB" w14:textId="77777777" w:rsidR="00AD2341" w:rsidRPr="000F3E5C" w:rsidRDefault="00AD2341" w:rsidP="00AD2341">
            <w:pPr>
              <w:rPr>
                <w:rFonts w:ascii="Arial" w:hAnsi="Arial" w:cs="Arial"/>
                <w:sz w:val="22"/>
                <w:szCs w:val="22"/>
              </w:rPr>
            </w:pPr>
          </w:p>
          <w:p w14:paraId="11EE080A" w14:textId="77777777" w:rsidR="00AD2341" w:rsidRPr="000F3E5C" w:rsidRDefault="00AD2341" w:rsidP="00AD2341">
            <w:pPr>
              <w:rPr>
                <w:rFonts w:ascii="Arial" w:hAnsi="Arial" w:cs="Arial"/>
                <w:sz w:val="22"/>
                <w:szCs w:val="22"/>
              </w:rPr>
            </w:pPr>
          </w:p>
          <w:p w14:paraId="52F98E72" w14:textId="77777777" w:rsidR="00AD2341" w:rsidRPr="000F3E5C" w:rsidRDefault="00AD2341" w:rsidP="00AD2341">
            <w:pPr>
              <w:rPr>
                <w:rFonts w:ascii="Arial" w:hAnsi="Arial" w:cs="Arial"/>
                <w:sz w:val="22"/>
                <w:szCs w:val="22"/>
              </w:rPr>
            </w:pPr>
          </w:p>
          <w:p w14:paraId="3E254A0B" w14:textId="77777777" w:rsidR="00AD2341" w:rsidRPr="000F3E5C" w:rsidRDefault="00AD2341" w:rsidP="00AD2341">
            <w:pPr>
              <w:rPr>
                <w:rFonts w:ascii="Arial" w:hAnsi="Arial" w:cs="Arial"/>
                <w:sz w:val="22"/>
                <w:szCs w:val="22"/>
              </w:rPr>
            </w:pPr>
          </w:p>
          <w:p w14:paraId="0AA1A85A" w14:textId="4ADA9224" w:rsidR="00C50CF8" w:rsidRPr="000F3E5C" w:rsidRDefault="00C50CF8" w:rsidP="00AD2341">
            <w:pPr>
              <w:rPr>
                <w:rFonts w:ascii="Arial" w:hAnsi="Arial" w:cs="Arial"/>
                <w:sz w:val="22"/>
                <w:szCs w:val="22"/>
              </w:rPr>
            </w:pPr>
            <w:r w:rsidRPr="000F3E5C">
              <w:rPr>
                <w:rFonts w:ascii="Arial" w:hAnsi="Arial" w:cs="Arial"/>
                <w:sz w:val="22"/>
                <w:szCs w:val="22"/>
              </w:rPr>
              <w:t>Síntesis de lo más destacado</w:t>
            </w:r>
          </w:p>
        </w:tc>
        <w:tc>
          <w:tcPr>
            <w:tcW w:w="4826" w:type="dxa"/>
          </w:tcPr>
          <w:p w14:paraId="1B32F8F3" w14:textId="22BF2044" w:rsidR="00C50CF8" w:rsidRDefault="002F2EC4" w:rsidP="002F2EC4">
            <w:pPr>
              <w:jc w:val="both"/>
              <w:rPr>
                <w:rFonts w:ascii="Arial" w:hAnsi="Arial" w:cs="Arial"/>
                <w:sz w:val="22"/>
                <w:szCs w:val="22"/>
              </w:rPr>
            </w:pPr>
            <w:r>
              <w:rPr>
                <w:rFonts w:ascii="Arial" w:hAnsi="Arial" w:cs="Arial"/>
                <w:sz w:val="22"/>
                <w:szCs w:val="22"/>
              </w:rPr>
              <w:t>El texto analiza el panorama del consumo cultural en chile, destacando las distintas tipologías de consumidores y su relación con factores socioeconómicos, educativos y etarios, se identifican cinco grupos principales: 1. Consumo cultural alto general: este grupo se caracteriza por un alto nivel de acceso y frecuencia de consumo de bienes culturales, representa a personas con educación universitaria mayoritariamente jóvenes entre 17 y 34 años, que disfrutan de un acceso a diversos bienes culturales como conciertos, teatros o artes visuales</w:t>
            </w:r>
          </w:p>
          <w:p w14:paraId="76C429B5" w14:textId="1DE9EDF0" w:rsidR="002F2EC4" w:rsidRPr="000F3E5C" w:rsidRDefault="002F2EC4" w:rsidP="002F2EC4">
            <w:pPr>
              <w:jc w:val="both"/>
              <w:rPr>
                <w:rFonts w:ascii="Arial" w:hAnsi="Arial" w:cs="Arial"/>
                <w:sz w:val="22"/>
                <w:szCs w:val="22"/>
              </w:rPr>
            </w:pPr>
            <w:r>
              <w:rPr>
                <w:rFonts w:ascii="Arial" w:hAnsi="Arial" w:cs="Arial"/>
                <w:sz w:val="22"/>
                <w:szCs w:val="22"/>
              </w:rPr>
              <w:t>2. Consumo cultural alto vía soporte tecnológico: este grupo utiliza principalmente tecnologías digitales para acceder a bienes culturales, a pesar de su alto consumo de música y películas su participación en actividades culturales presenciales es baja, este fenómeno refleja la creciente importancia del internet en la vida cotidiana de los jóvenes, con esta síntesis de los resultados de los adultos jóvenes, mayoritariamente estudiantes universitarios, nos podría dar una base de la relación con el consumo de música entre ellos, ayudándonos para nuestro trabajo</w:t>
            </w:r>
          </w:p>
        </w:tc>
        <w:tc>
          <w:tcPr>
            <w:tcW w:w="4339" w:type="dxa"/>
          </w:tcPr>
          <w:p w14:paraId="3FAFC873" w14:textId="16E41B23" w:rsidR="00CF5090" w:rsidRDefault="002F2EC4" w:rsidP="00C24FAD">
            <w:pPr>
              <w:jc w:val="both"/>
              <w:rPr>
                <w:rFonts w:ascii="Arial" w:hAnsi="Arial" w:cs="Arial"/>
                <w:sz w:val="22"/>
                <w:szCs w:val="22"/>
              </w:rPr>
            </w:pPr>
            <w:r>
              <w:rPr>
                <w:rFonts w:ascii="Arial" w:hAnsi="Arial" w:cs="Arial"/>
                <w:sz w:val="22"/>
                <w:szCs w:val="22"/>
              </w:rPr>
              <w:t>“Este tipo de consumidor accede, mayoritariamente, a todos los bienes y servicios culturales de forma homogénea, con excepción de las películas de VHS, DVD, etc. Y la asistencia a bibliotecas. (…) No existen diferencias significativas en términos de sexo y la edad se concentra entre los 17 y los 34 años”.</w:t>
            </w:r>
          </w:p>
          <w:p w14:paraId="5E80FA9D" w14:textId="6AFB2463" w:rsidR="00C50CF8" w:rsidRPr="000F3E5C" w:rsidRDefault="00CF5090" w:rsidP="00C24FAD">
            <w:pPr>
              <w:jc w:val="both"/>
              <w:rPr>
                <w:rFonts w:ascii="Arial" w:hAnsi="Arial" w:cs="Arial"/>
                <w:sz w:val="22"/>
                <w:szCs w:val="22"/>
              </w:rPr>
            </w:pPr>
            <w:r w:rsidRPr="00CF5090">
              <w:rPr>
                <w:rFonts w:ascii="Arial" w:hAnsi="Arial" w:cs="Arial"/>
                <w:sz w:val="22"/>
                <w:szCs w:val="22"/>
              </w:rPr>
              <w:t>(Güell, Morales y Núñez, 2011)</w:t>
            </w:r>
          </w:p>
        </w:tc>
      </w:tr>
    </w:tbl>
    <w:p w14:paraId="731EBF41" w14:textId="77777777" w:rsidR="00C50CF8" w:rsidRPr="000F3E5C" w:rsidRDefault="00C50CF8">
      <w:pPr>
        <w:rPr>
          <w:rFonts w:ascii="Arial" w:hAnsi="Arial" w:cs="Arial"/>
          <w:sz w:val="22"/>
          <w:szCs w:val="22"/>
        </w:rPr>
      </w:pPr>
    </w:p>
    <w:p w14:paraId="3BCAD449" w14:textId="77777777" w:rsidR="00C50CF8" w:rsidRPr="000F3E5C" w:rsidRDefault="00C50CF8">
      <w:pPr>
        <w:rPr>
          <w:rFonts w:ascii="Arial" w:hAnsi="Arial" w:cs="Arial"/>
          <w:sz w:val="22"/>
          <w:szCs w:val="22"/>
        </w:rPr>
      </w:pPr>
    </w:p>
    <w:tbl>
      <w:tblPr>
        <w:tblStyle w:val="Tablaconcuadrcula"/>
        <w:tblpPr w:leftFromText="141" w:rightFromText="141" w:horzAnchor="page" w:tblpX="397" w:tblpY="-780"/>
        <w:tblW w:w="11503" w:type="dxa"/>
        <w:tblLook w:val="04A0" w:firstRow="1" w:lastRow="0" w:firstColumn="1" w:lastColumn="0" w:noHBand="0" w:noVBand="1"/>
      </w:tblPr>
      <w:tblGrid>
        <w:gridCol w:w="2656"/>
        <w:gridCol w:w="4763"/>
        <w:gridCol w:w="4084"/>
      </w:tblGrid>
      <w:tr w:rsidR="00C50CF8" w:rsidRPr="000F3E5C" w14:paraId="7C2FDB88" w14:textId="77777777" w:rsidTr="007E4D74">
        <w:trPr>
          <w:trHeight w:val="175"/>
        </w:trPr>
        <w:tc>
          <w:tcPr>
            <w:tcW w:w="11503" w:type="dxa"/>
            <w:gridSpan w:val="3"/>
          </w:tcPr>
          <w:p w14:paraId="74C31CAC" w14:textId="023EBA03" w:rsidR="00E52C63" w:rsidRPr="000F3E5C" w:rsidRDefault="008C3B8D" w:rsidP="005071C5">
            <w:pPr>
              <w:rPr>
                <w:rFonts w:ascii="Arial" w:hAnsi="Arial" w:cs="Arial"/>
                <w:sz w:val="22"/>
                <w:szCs w:val="22"/>
              </w:rPr>
            </w:pPr>
            <w:proofErr w:type="spellStart"/>
            <w:r w:rsidRPr="00F85036">
              <w:rPr>
                <w:rFonts w:ascii="Arial" w:hAnsi="Arial" w:cs="Arial"/>
                <w:sz w:val="22"/>
                <w:szCs w:val="22"/>
                <w:lang w:val="en-US"/>
              </w:rPr>
              <w:lastRenderedPageBreak/>
              <w:t>Güell</w:t>
            </w:r>
            <w:proofErr w:type="spellEnd"/>
            <w:r w:rsidRPr="00F85036">
              <w:rPr>
                <w:rFonts w:ascii="Arial" w:hAnsi="Arial" w:cs="Arial"/>
                <w:sz w:val="22"/>
                <w:szCs w:val="22"/>
                <w:lang w:val="en-US"/>
              </w:rPr>
              <w:t xml:space="preserve">, P. Godoy, S. Frei, R. (2005). </w:t>
            </w:r>
            <w:r w:rsidRPr="008C3B8D">
              <w:rPr>
                <w:rFonts w:ascii="Arial" w:hAnsi="Arial" w:cs="Arial"/>
                <w:sz w:val="22"/>
                <w:szCs w:val="22"/>
              </w:rPr>
              <w:t xml:space="preserve">El consumo cultural y la vida cotidiana: algunas hipótesis empíricas. </w:t>
            </w:r>
            <w:r w:rsidRPr="008C3B8D">
              <w:rPr>
                <w:rFonts w:ascii="Arial" w:hAnsi="Arial" w:cs="Arial"/>
                <w:i/>
                <w:iCs/>
                <w:sz w:val="22"/>
                <w:szCs w:val="22"/>
              </w:rPr>
              <w:t>Consumo cultural en Chile. Miradas y perspectivas</w:t>
            </w:r>
            <w:r w:rsidRPr="008C3B8D">
              <w:rPr>
                <w:rFonts w:ascii="Arial" w:hAnsi="Arial" w:cs="Arial"/>
                <w:sz w:val="22"/>
                <w:szCs w:val="22"/>
              </w:rPr>
              <w:t>, pp77-88.</w:t>
            </w:r>
          </w:p>
        </w:tc>
      </w:tr>
      <w:tr w:rsidR="00AD2341" w:rsidRPr="000F3E5C" w14:paraId="1EA0AF70" w14:textId="37E6AEFA" w:rsidTr="007E4D74">
        <w:tblPrEx>
          <w:tblCellMar>
            <w:left w:w="70" w:type="dxa"/>
            <w:right w:w="70" w:type="dxa"/>
          </w:tblCellMar>
          <w:tblLook w:val="0000" w:firstRow="0" w:lastRow="0" w:firstColumn="0" w:lastColumn="0" w:noHBand="0" w:noVBand="0"/>
        </w:tblPrEx>
        <w:trPr>
          <w:trHeight w:val="170"/>
        </w:trPr>
        <w:tc>
          <w:tcPr>
            <w:tcW w:w="2656" w:type="dxa"/>
            <w:vMerge w:val="restart"/>
          </w:tcPr>
          <w:p w14:paraId="1577239F" w14:textId="77777777" w:rsidR="00AD2341" w:rsidRPr="000F3E5C" w:rsidRDefault="00AD2341" w:rsidP="00AD2341">
            <w:pPr>
              <w:ind w:left="-5"/>
              <w:rPr>
                <w:rFonts w:ascii="Arial" w:hAnsi="Arial" w:cs="Arial"/>
                <w:sz w:val="22"/>
                <w:szCs w:val="22"/>
              </w:rPr>
            </w:pPr>
          </w:p>
          <w:p w14:paraId="169E4CA0" w14:textId="77777777" w:rsidR="00AD2341" w:rsidRPr="000F3E5C" w:rsidRDefault="00AD2341" w:rsidP="00AD2341">
            <w:pPr>
              <w:ind w:left="-5"/>
              <w:rPr>
                <w:rFonts w:ascii="Arial" w:hAnsi="Arial" w:cs="Arial"/>
                <w:sz w:val="22"/>
                <w:szCs w:val="22"/>
              </w:rPr>
            </w:pPr>
          </w:p>
          <w:p w14:paraId="626FBE32" w14:textId="77777777" w:rsidR="00AD2341" w:rsidRPr="000F3E5C" w:rsidRDefault="00AD2341" w:rsidP="00AD2341">
            <w:pPr>
              <w:ind w:left="-5"/>
              <w:rPr>
                <w:rFonts w:ascii="Arial" w:hAnsi="Arial" w:cs="Arial"/>
                <w:sz w:val="22"/>
                <w:szCs w:val="22"/>
              </w:rPr>
            </w:pPr>
          </w:p>
          <w:p w14:paraId="51EE6300" w14:textId="12A88381" w:rsidR="00AD2341" w:rsidRPr="000F3E5C" w:rsidRDefault="00AD2341" w:rsidP="00AD2341">
            <w:pPr>
              <w:rPr>
                <w:rFonts w:ascii="Arial" w:hAnsi="Arial" w:cs="Arial"/>
                <w:sz w:val="22"/>
                <w:szCs w:val="22"/>
              </w:rPr>
            </w:pPr>
            <w:r w:rsidRPr="000F3E5C">
              <w:rPr>
                <w:rFonts w:ascii="Arial" w:hAnsi="Arial" w:cs="Arial"/>
                <w:sz w:val="22"/>
                <w:szCs w:val="22"/>
              </w:rPr>
              <w:t>Definición de conceptos principales</w:t>
            </w:r>
          </w:p>
          <w:p w14:paraId="070D2713" w14:textId="77777777" w:rsidR="00AD2341" w:rsidRPr="000F3E5C" w:rsidRDefault="00AD2341" w:rsidP="00AD2341">
            <w:pPr>
              <w:spacing w:after="160" w:line="278" w:lineRule="auto"/>
              <w:ind w:left="-5"/>
              <w:rPr>
                <w:rFonts w:ascii="Arial" w:hAnsi="Arial" w:cs="Arial"/>
                <w:sz w:val="22"/>
                <w:szCs w:val="22"/>
              </w:rPr>
            </w:pPr>
          </w:p>
        </w:tc>
        <w:tc>
          <w:tcPr>
            <w:tcW w:w="4763" w:type="dxa"/>
            <w:vMerge w:val="restart"/>
          </w:tcPr>
          <w:p w14:paraId="568D1145" w14:textId="77777777" w:rsidR="00AD2341" w:rsidRDefault="00FC5C59" w:rsidP="00FC5C59">
            <w:pPr>
              <w:jc w:val="both"/>
              <w:rPr>
                <w:rFonts w:ascii="Arial" w:hAnsi="Arial" w:cs="Arial"/>
                <w:sz w:val="22"/>
                <w:szCs w:val="22"/>
              </w:rPr>
            </w:pPr>
            <w:r w:rsidRPr="00FC5C59">
              <w:rPr>
                <w:rFonts w:ascii="Arial" w:hAnsi="Arial" w:cs="Arial"/>
                <w:b/>
                <w:bCs/>
                <w:sz w:val="22"/>
                <w:szCs w:val="22"/>
              </w:rPr>
              <w:t>Consumo cultural</w:t>
            </w:r>
            <w:r>
              <w:rPr>
                <w:rFonts w:ascii="Arial" w:hAnsi="Arial" w:cs="Arial"/>
                <w:sz w:val="22"/>
                <w:szCs w:val="22"/>
              </w:rPr>
              <w:t>: Los autores se refieren a la adquisición y uso de bienes culturales que pueden incluir música, arte, literatura, entre otros</w:t>
            </w:r>
          </w:p>
          <w:p w14:paraId="23CC2A93" w14:textId="77777777" w:rsidR="00FC5C59" w:rsidRDefault="00FC5C59" w:rsidP="00FC5C59">
            <w:pPr>
              <w:jc w:val="both"/>
              <w:rPr>
                <w:rFonts w:ascii="Arial" w:hAnsi="Arial" w:cs="Arial"/>
                <w:sz w:val="22"/>
                <w:szCs w:val="22"/>
              </w:rPr>
            </w:pPr>
            <w:r w:rsidRPr="00FC5C59">
              <w:rPr>
                <w:rFonts w:ascii="Arial" w:hAnsi="Arial" w:cs="Arial"/>
                <w:b/>
                <w:bCs/>
                <w:sz w:val="22"/>
                <w:szCs w:val="22"/>
              </w:rPr>
              <w:t>Identidad</w:t>
            </w:r>
            <w:r>
              <w:rPr>
                <w:rFonts w:ascii="Arial" w:hAnsi="Arial" w:cs="Arial"/>
                <w:sz w:val="22"/>
                <w:szCs w:val="22"/>
              </w:rPr>
              <w:t>: Es un constructo social que se forma a partir de las diversas influencias, incluyendo el consumo cultural</w:t>
            </w:r>
          </w:p>
          <w:p w14:paraId="73302A27" w14:textId="77777777" w:rsidR="00C24FAD" w:rsidRDefault="00C24FAD" w:rsidP="00FC5C59">
            <w:pPr>
              <w:jc w:val="both"/>
              <w:rPr>
                <w:rFonts w:ascii="Arial" w:hAnsi="Arial" w:cs="Arial"/>
                <w:sz w:val="22"/>
                <w:szCs w:val="22"/>
              </w:rPr>
            </w:pPr>
            <w:r w:rsidRPr="00C24FAD">
              <w:rPr>
                <w:rFonts w:ascii="Arial" w:hAnsi="Arial" w:cs="Arial"/>
                <w:b/>
                <w:bCs/>
                <w:sz w:val="22"/>
                <w:szCs w:val="22"/>
              </w:rPr>
              <w:t>Sociabilidad</w:t>
            </w:r>
            <w:r>
              <w:rPr>
                <w:rFonts w:ascii="Arial" w:hAnsi="Arial" w:cs="Arial"/>
                <w:sz w:val="22"/>
                <w:szCs w:val="22"/>
              </w:rPr>
              <w:t>: Los autores se refieren a la manera en que las personas interactúan y se relacionan entre sí en su vida cotidiana</w:t>
            </w:r>
          </w:p>
          <w:p w14:paraId="63B23F25" w14:textId="1D5CBF60" w:rsidR="00C24FAD" w:rsidRPr="000F3E5C" w:rsidRDefault="00C24FAD" w:rsidP="00FC5C59">
            <w:pPr>
              <w:jc w:val="both"/>
              <w:rPr>
                <w:rFonts w:ascii="Arial" w:hAnsi="Arial" w:cs="Arial"/>
                <w:sz w:val="22"/>
                <w:szCs w:val="22"/>
              </w:rPr>
            </w:pPr>
            <w:r>
              <w:rPr>
                <w:rFonts w:ascii="Arial" w:hAnsi="Arial" w:cs="Arial"/>
                <w:sz w:val="22"/>
                <w:szCs w:val="22"/>
              </w:rPr>
              <w:t>Subjetividad: Este concepto se refiere a la manera en que las experiencias individuales y las percepciones influyen en la forma en que las personas entienden y construyen su identidad</w:t>
            </w:r>
          </w:p>
        </w:tc>
        <w:tc>
          <w:tcPr>
            <w:tcW w:w="4083" w:type="dxa"/>
          </w:tcPr>
          <w:p w14:paraId="27D377D3" w14:textId="6BA88CA5" w:rsidR="00AD2341" w:rsidRPr="000F3E5C" w:rsidRDefault="00AD2341" w:rsidP="00AD2341">
            <w:pPr>
              <w:rPr>
                <w:rFonts w:ascii="Arial" w:hAnsi="Arial" w:cs="Arial"/>
                <w:sz w:val="22"/>
                <w:szCs w:val="22"/>
              </w:rPr>
            </w:pPr>
            <w:r w:rsidRPr="000F3E5C">
              <w:rPr>
                <w:rFonts w:ascii="Arial" w:hAnsi="Arial" w:cs="Arial"/>
                <w:sz w:val="22"/>
                <w:szCs w:val="22"/>
              </w:rPr>
              <w:t>Citas</w:t>
            </w:r>
          </w:p>
        </w:tc>
      </w:tr>
      <w:tr w:rsidR="00AD2341" w:rsidRPr="000F3E5C" w14:paraId="3A685966" w14:textId="77777777" w:rsidTr="007E4D74">
        <w:tblPrEx>
          <w:tblCellMar>
            <w:left w:w="70" w:type="dxa"/>
            <w:right w:w="70" w:type="dxa"/>
          </w:tblCellMar>
          <w:tblLook w:val="0000" w:firstRow="0" w:lastRow="0" w:firstColumn="0" w:lastColumn="0" w:noHBand="0" w:noVBand="0"/>
        </w:tblPrEx>
        <w:trPr>
          <w:trHeight w:val="1268"/>
        </w:trPr>
        <w:tc>
          <w:tcPr>
            <w:tcW w:w="2656" w:type="dxa"/>
            <w:vMerge/>
          </w:tcPr>
          <w:p w14:paraId="236703FC" w14:textId="77777777" w:rsidR="00AD2341" w:rsidRPr="000F3E5C" w:rsidRDefault="00AD2341" w:rsidP="00AD2341">
            <w:pPr>
              <w:ind w:left="-5"/>
              <w:rPr>
                <w:rFonts w:ascii="Arial" w:hAnsi="Arial" w:cs="Arial"/>
                <w:sz w:val="22"/>
                <w:szCs w:val="22"/>
              </w:rPr>
            </w:pPr>
          </w:p>
        </w:tc>
        <w:tc>
          <w:tcPr>
            <w:tcW w:w="4763" w:type="dxa"/>
            <w:vMerge/>
          </w:tcPr>
          <w:p w14:paraId="4210B06A" w14:textId="77777777" w:rsidR="00AD2341" w:rsidRPr="000F3E5C" w:rsidRDefault="00AD2341" w:rsidP="00AD2341">
            <w:pPr>
              <w:rPr>
                <w:rFonts w:ascii="Arial" w:hAnsi="Arial" w:cs="Arial"/>
                <w:sz w:val="22"/>
                <w:szCs w:val="22"/>
              </w:rPr>
            </w:pPr>
          </w:p>
        </w:tc>
        <w:tc>
          <w:tcPr>
            <w:tcW w:w="4083" w:type="dxa"/>
          </w:tcPr>
          <w:p w14:paraId="07DCBD73" w14:textId="0CCFB1A0" w:rsidR="00AD2341" w:rsidRDefault="00FC5C59" w:rsidP="00FC5C59">
            <w:pPr>
              <w:jc w:val="both"/>
              <w:rPr>
                <w:rFonts w:ascii="Arial" w:hAnsi="Arial" w:cs="Arial"/>
                <w:sz w:val="22"/>
                <w:szCs w:val="22"/>
              </w:rPr>
            </w:pPr>
            <w:r>
              <w:rPr>
                <w:rFonts w:ascii="Arial" w:hAnsi="Arial" w:cs="Arial"/>
                <w:sz w:val="22"/>
                <w:szCs w:val="22"/>
              </w:rPr>
              <w:t>“Las nuevas formas de acceso al patrimonio, a las tradiciones y a los símbolos a través del mercado y de la capacidad económica de pago provocarían efectos profundos sobre el imaginario cultural, sobre la memoria, el sentimiento de pertenencia y las identidades”. (Güell, Godoy &amp; Frei, 2005</w:t>
            </w:r>
            <w:r w:rsidR="003E42B6">
              <w:rPr>
                <w:rFonts w:ascii="Arial" w:hAnsi="Arial" w:cs="Arial"/>
                <w:sz w:val="22"/>
                <w:szCs w:val="22"/>
              </w:rPr>
              <w:t>, p.1</w:t>
            </w:r>
            <w:r>
              <w:rPr>
                <w:rFonts w:ascii="Arial" w:hAnsi="Arial" w:cs="Arial"/>
                <w:sz w:val="22"/>
                <w:szCs w:val="22"/>
              </w:rPr>
              <w:t>)</w:t>
            </w:r>
          </w:p>
          <w:p w14:paraId="5CAF99EC" w14:textId="7A93A28B" w:rsidR="00FC5C59" w:rsidRDefault="00C24FAD" w:rsidP="00FC5C59">
            <w:pPr>
              <w:jc w:val="both"/>
              <w:rPr>
                <w:rFonts w:ascii="Arial" w:hAnsi="Arial" w:cs="Arial"/>
                <w:sz w:val="22"/>
                <w:szCs w:val="22"/>
              </w:rPr>
            </w:pPr>
            <w:r>
              <w:rPr>
                <w:rFonts w:ascii="Arial" w:hAnsi="Arial" w:cs="Arial"/>
                <w:sz w:val="22"/>
                <w:szCs w:val="22"/>
              </w:rPr>
              <w:t xml:space="preserve">“Quienes más consumen bienes culturales tienden a definirse a sí mismos a partir de referencias que pueden llamarse post-materialistas”. </w:t>
            </w:r>
            <w:r w:rsidRPr="00C24FAD">
              <w:rPr>
                <w:rFonts w:ascii="Arial" w:hAnsi="Arial" w:cs="Arial"/>
                <w:sz w:val="22"/>
                <w:szCs w:val="22"/>
              </w:rPr>
              <w:t>(Güell, Godoy &amp; Frei, 2005</w:t>
            </w:r>
            <w:r w:rsidR="003E42B6">
              <w:rPr>
                <w:rFonts w:ascii="Arial" w:hAnsi="Arial" w:cs="Arial"/>
                <w:sz w:val="22"/>
                <w:szCs w:val="22"/>
              </w:rPr>
              <w:t>, p.6</w:t>
            </w:r>
            <w:r w:rsidRPr="00C24FAD">
              <w:rPr>
                <w:rFonts w:ascii="Arial" w:hAnsi="Arial" w:cs="Arial"/>
                <w:sz w:val="22"/>
                <w:szCs w:val="22"/>
              </w:rPr>
              <w:t>)</w:t>
            </w:r>
          </w:p>
          <w:p w14:paraId="051DB46D" w14:textId="036C04D0" w:rsidR="00C24FAD" w:rsidRDefault="00C24FAD" w:rsidP="00FC5C59">
            <w:pPr>
              <w:jc w:val="both"/>
              <w:rPr>
                <w:rFonts w:ascii="Arial" w:hAnsi="Arial" w:cs="Arial"/>
                <w:sz w:val="22"/>
                <w:szCs w:val="22"/>
              </w:rPr>
            </w:pPr>
            <w:r>
              <w:rPr>
                <w:rFonts w:ascii="Arial" w:hAnsi="Arial" w:cs="Arial"/>
                <w:sz w:val="22"/>
                <w:szCs w:val="22"/>
              </w:rPr>
              <w:t xml:space="preserve">“Las personas que declaran tener más amigos, que lo pasan bien con ellos y tienen un mayor nivel de participación en organizaciones, consumen más bienes culturales”. </w:t>
            </w:r>
            <w:r w:rsidRPr="00C24FAD">
              <w:rPr>
                <w:rFonts w:ascii="Arial" w:hAnsi="Arial" w:cs="Arial"/>
                <w:sz w:val="22"/>
                <w:szCs w:val="22"/>
              </w:rPr>
              <w:t>(Güell, Godoy &amp; Frei, 2005</w:t>
            </w:r>
            <w:r w:rsidR="003E42B6">
              <w:rPr>
                <w:rFonts w:ascii="Arial" w:hAnsi="Arial" w:cs="Arial"/>
                <w:sz w:val="22"/>
                <w:szCs w:val="22"/>
              </w:rPr>
              <w:t>, p.4</w:t>
            </w:r>
            <w:r w:rsidRPr="00C24FAD">
              <w:rPr>
                <w:rFonts w:ascii="Arial" w:hAnsi="Arial" w:cs="Arial"/>
                <w:sz w:val="22"/>
                <w:szCs w:val="22"/>
              </w:rPr>
              <w:t>)</w:t>
            </w:r>
          </w:p>
          <w:p w14:paraId="154CB27E" w14:textId="072BE17B" w:rsidR="00C24FAD" w:rsidRPr="000F3E5C" w:rsidRDefault="00C24FAD" w:rsidP="00FC5C59">
            <w:pPr>
              <w:jc w:val="both"/>
              <w:rPr>
                <w:rFonts w:ascii="Arial" w:hAnsi="Arial" w:cs="Arial"/>
                <w:sz w:val="22"/>
                <w:szCs w:val="22"/>
              </w:rPr>
            </w:pPr>
            <w:r>
              <w:rPr>
                <w:rFonts w:ascii="Arial" w:hAnsi="Arial" w:cs="Arial"/>
                <w:sz w:val="22"/>
                <w:szCs w:val="22"/>
              </w:rPr>
              <w:t xml:space="preserve">“El consumo cultural parece favorecer ciertas formas de subjetividad, como, por ejemplo, la disposición a los cambios y la tolerancia”. </w:t>
            </w:r>
            <w:r w:rsidRPr="00C24FAD">
              <w:rPr>
                <w:rFonts w:ascii="Arial" w:hAnsi="Arial" w:cs="Arial"/>
                <w:sz w:val="22"/>
                <w:szCs w:val="22"/>
              </w:rPr>
              <w:t>(Güell, Godoy &amp; Frei, 2005</w:t>
            </w:r>
            <w:r w:rsidR="003E42B6">
              <w:rPr>
                <w:rFonts w:ascii="Arial" w:hAnsi="Arial" w:cs="Arial"/>
                <w:sz w:val="22"/>
                <w:szCs w:val="22"/>
              </w:rPr>
              <w:t>, p.10</w:t>
            </w:r>
            <w:r w:rsidRPr="00C24FAD">
              <w:rPr>
                <w:rFonts w:ascii="Arial" w:hAnsi="Arial" w:cs="Arial"/>
                <w:sz w:val="22"/>
                <w:szCs w:val="22"/>
              </w:rPr>
              <w:t>)</w:t>
            </w:r>
          </w:p>
        </w:tc>
      </w:tr>
      <w:tr w:rsidR="00AD2341" w:rsidRPr="000F3E5C" w14:paraId="480A84F4" w14:textId="5FF1305E" w:rsidTr="007E4D74">
        <w:tblPrEx>
          <w:tblCellMar>
            <w:left w:w="70" w:type="dxa"/>
            <w:right w:w="70" w:type="dxa"/>
          </w:tblCellMar>
          <w:tblLook w:val="0000" w:firstRow="0" w:lastRow="0" w:firstColumn="0" w:lastColumn="0" w:noHBand="0" w:noVBand="0"/>
        </w:tblPrEx>
        <w:trPr>
          <w:trHeight w:val="1399"/>
        </w:trPr>
        <w:tc>
          <w:tcPr>
            <w:tcW w:w="2656" w:type="dxa"/>
          </w:tcPr>
          <w:p w14:paraId="040A2295" w14:textId="77777777" w:rsidR="00AD2341" w:rsidRPr="000F3E5C" w:rsidRDefault="00AD2341" w:rsidP="00AD2341">
            <w:pPr>
              <w:ind w:left="-5"/>
              <w:rPr>
                <w:rFonts w:ascii="Arial" w:hAnsi="Arial" w:cs="Arial"/>
                <w:sz w:val="22"/>
                <w:szCs w:val="22"/>
              </w:rPr>
            </w:pPr>
          </w:p>
          <w:p w14:paraId="2F7A8308" w14:textId="77777777" w:rsidR="00AD2341" w:rsidRPr="000F3E5C" w:rsidRDefault="00AD2341" w:rsidP="00AD2341">
            <w:pPr>
              <w:ind w:left="-5"/>
              <w:rPr>
                <w:rFonts w:ascii="Arial" w:hAnsi="Arial" w:cs="Arial"/>
                <w:sz w:val="22"/>
                <w:szCs w:val="22"/>
              </w:rPr>
            </w:pPr>
          </w:p>
          <w:p w14:paraId="6FAB2F82" w14:textId="77777777" w:rsidR="007E4D74" w:rsidRDefault="007E4D74" w:rsidP="007E4D74">
            <w:pPr>
              <w:rPr>
                <w:rFonts w:ascii="Arial" w:hAnsi="Arial" w:cs="Arial"/>
                <w:sz w:val="22"/>
                <w:szCs w:val="22"/>
              </w:rPr>
            </w:pPr>
          </w:p>
          <w:p w14:paraId="6513EA25" w14:textId="4428E377" w:rsidR="00AD2341" w:rsidRPr="000F3E5C" w:rsidRDefault="00AD2341" w:rsidP="007E4D74">
            <w:pPr>
              <w:rPr>
                <w:rFonts w:ascii="Arial" w:hAnsi="Arial" w:cs="Arial"/>
                <w:sz w:val="22"/>
                <w:szCs w:val="22"/>
              </w:rPr>
            </w:pPr>
            <w:r w:rsidRPr="000F3E5C">
              <w:rPr>
                <w:rFonts w:ascii="Arial" w:hAnsi="Arial" w:cs="Arial"/>
                <w:sz w:val="22"/>
                <w:szCs w:val="22"/>
              </w:rPr>
              <w:t>Forma de operacionalización</w:t>
            </w:r>
          </w:p>
        </w:tc>
        <w:tc>
          <w:tcPr>
            <w:tcW w:w="4763" w:type="dxa"/>
          </w:tcPr>
          <w:p w14:paraId="23134DF5" w14:textId="05F04F2F" w:rsidR="00AD2341" w:rsidRPr="000F3E5C" w:rsidRDefault="003E42B6" w:rsidP="003E42B6">
            <w:pPr>
              <w:ind w:left="-5"/>
              <w:jc w:val="both"/>
              <w:rPr>
                <w:rFonts w:ascii="Arial" w:hAnsi="Arial" w:cs="Arial"/>
                <w:sz w:val="22"/>
                <w:szCs w:val="22"/>
              </w:rPr>
            </w:pPr>
            <w:commentRangeStart w:id="2"/>
            <w:r>
              <w:rPr>
                <w:rFonts w:ascii="Arial" w:hAnsi="Arial" w:cs="Arial"/>
                <w:sz w:val="22"/>
                <w:szCs w:val="22"/>
              </w:rPr>
              <w:t>En el texto la forma de operacionalización se identifica a como se miden y analizan las variables relacionadas con el consumo cultural, la vida cotidiana, la identidad y la subjetividad, se menciona que se utilizan encuestas para recolectar datos sobre el consumo cultural y sus efectos en la vida personal y social de los individuos</w:t>
            </w:r>
            <w:commentRangeEnd w:id="2"/>
            <w:r w:rsidR="00F85036">
              <w:rPr>
                <w:rStyle w:val="Refdecomentario"/>
              </w:rPr>
              <w:commentReference w:id="2"/>
            </w:r>
          </w:p>
        </w:tc>
        <w:tc>
          <w:tcPr>
            <w:tcW w:w="4083" w:type="dxa"/>
          </w:tcPr>
          <w:p w14:paraId="42D978DD" w14:textId="2C6CBEEC" w:rsidR="00AD2341" w:rsidRPr="000F3E5C" w:rsidRDefault="003E42B6" w:rsidP="003E42B6">
            <w:pPr>
              <w:ind w:left="-5"/>
              <w:jc w:val="both"/>
              <w:rPr>
                <w:rFonts w:ascii="Arial" w:hAnsi="Arial" w:cs="Arial"/>
                <w:sz w:val="22"/>
                <w:szCs w:val="22"/>
              </w:rPr>
            </w:pPr>
            <w:r>
              <w:rPr>
                <w:rFonts w:ascii="Arial" w:hAnsi="Arial" w:cs="Arial"/>
                <w:sz w:val="22"/>
                <w:szCs w:val="22"/>
              </w:rPr>
              <w:t xml:space="preserve">“Las mediciones de consumo cultural usadas en este texto se refieren precisamente a bienes simbólicos que se adquieren principalmente mediante el intercambio monetario” </w:t>
            </w:r>
            <w:r w:rsidRPr="003E42B6">
              <w:rPr>
                <w:rFonts w:ascii="Arial" w:hAnsi="Arial" w:cs="Arial"/>
                <w:sz w:val="22"/>
                <w:szCs w:val="22"/>
              </w:rPr>
              <w:t>(Güell, Godoy &amp; Frei, 2005, p.10)</w:t>
            </w:r>
          </w:p>
        </w:tc>
      </w:tr>
      <w:tr w:rsidR="00AD2341" w:rsidRPr="000F3E5C" w14:paraId="7975904C" w14:textId="6A652B61" w:rsidTr="007E4D74">
        <w:tblPrEx>
          <w:tblCellMar>
            <w:left w:w="70" w:type="dxa"/>
            <w:right w:w="70" w:type="dxa"/>
          </w:tblCellMar>
          <w:tblLook w:val="0000" w:firstRow="0" w:lastRow="0" w:firstColumn="0" w:lastColumn="0" w:noHBand="0" w:noVBand="0"/>
        </w:tblPrEx>
        <w:trPr>
          <w:trHeight w:val="1982"/>
        </w:trPr>
        <w:tc>
          <w:tcPr>
            <w:tcW w:w="2656" w:type="dxa"/>
          </w:tcPr>
          <w:p w14:paraId="542F769A" w14:textId="77777777" w:rsidR="00AD2341" w:rsidRPr="000F3E5C" w:rsidRDefault="00AD2341" w:rsidP="00AD2341">
            <w:pPr>
              <w:ind w:left="-5"/>
              <w:rPr>
                <w:rFonts w:ascii="Arial" w:hAnsi="Arial" w:cs="Arial"/>
                <w:sz w:val="22"/>
                <w:szCs w:val="22"/>
              </w:rPr>
            </w:pPr>
          </w:p>
          <w:p w14:paraId="7CFAEAD5" w14:textId="77777777" w:rsidR="00AD2341" w:rsidRPr="000F3E5C" w:rsidRDefault="00AD2341" w:rsidP="00AD2341">
            <w:pPr>
              <w:ind w:left="-5"/>
              <w:rPr>
                <w:rFonts w:ascii="Arial" w:hAnsi="Arial" w:cs="Arial"/>
                <w:sz w:val="22"/>
                <w:szCs w:val="22"/>
              </w:rPr>
            </w:pPr>
          </w:p>
          <w:p w14:paraId="177F8878" w14:textId="77777777" w:rsidR="00AD2341" w:rsidRPr="000F3E5C" w:rsidRDefault="00AD2341" w:rsidP="00AD2341">
            <w:pPr>
              <w:ind w:left="-5"/>
              <w:rPr>
                <w:rFonts w:ascii="Arial" w:hAnsi="Arial" w:cs="Arial"/>
                <w:sz w:val="22"/>
                <w:szCs w:val="22"/>
              </w:rPr>
            </w:pPr>
          </w:p>
          <w:p w14:paraId="1FE3991C" w14:textId="52F6CB4D" w:rsidR="00AD2341" w:rsidRPr="000F3E5C" w:rsidRDefault="00AD2341" w:rsidP="007E4D74">
            <w:pPr>
              <w:rPr>
                <w:rFonts w:ascii="Arial" w:hAnsi="Arial" w:cs="Arial"/>
                <w:sz w:val="22"/>
                <w:szCs w:val="22"/>
              </w:rPr>
            </w:pPr>
            <w:r w:rsidRPr="000F3E5C">
              <w:rPr>
                <w:rFonts w:ascii="Arial" w:hAnsi="Arial" w:cs="Arial"/>
                <w:sz w:val="22"/>
                <w:szCs w:val="22"/>
              </w:rPr>
              <w:t>Recuento de la metodología</w:t>
            </w:r>
          </w:p>
        </w:tc>
        <w:tc>
          <w:tcPr>
            <w:tcW w:w="4763" w:type="dxa"/>
          </w:tcPr>
          <w:p w14:paraId="614CCD87" w14:textId="1447989F" w:rsidR="00AD2341" w:rsidRPr="000F3E5C" w:rsidRDefault="00300E32" w:rsidP="00300E32">
            <w:pPr>
              <w:ind w:left="-5"/>
              <w:jc w:val="both"/>
              <w:rPr>
                <w:rFonts w:ascii="Arial" w:hAnsi="Arial" w:cs="Arial"/>
                <w:sz w:val="22"/>
                <w:szCs w:val="22"/>
              </w:rPr>
            </w:pPr>
            <w:r>
              <w:rPr>
                <w:rFonts w:ascii="Arial" w:hAnsi="Arial" w:cs="Arial"/>
                <w:sz w:val="22"/>
                <w:szCs w:val="22"/>
              </w:rPr>
              <w:t xml:space="preserve">Los autores se centran en el uso de encuestas para recopilar datos sobre el consumo cultural en cuanto a variables socioeconómicas, se menciona que se han realizado encuestas específicas como la del PNUD en 2002 y la del </w:t>
            </w:r>
            <w:r w:rsidRPr="00300E32">
              <w:rPr>
                <w:rFonts w:ascii="Arial" w:hAnsi="Arial" w:cs="Arial"/>
                <w:i/>
                <w:iCs/>
                <w:sz w:val="22"/>
                <w:szCs w:val="22"/>
              </w:rPr>
              <w:t>Consejo Nacional de Cultura</w:t>
            </w:r>
            <w:r>
              <w:rPr>
                <w:rFonts w:ascii="Arial" w:hAnsi="Arial" w:cs="Arial"/>
                <w:sz w:val="22"/>
                <w:szCs w:val="22"/>
              </w:rPr>
              <w:t xml:space="preserve"> en 2004 para analizar el consumo cultural en diferentes contextos</w:t>
            </w:r>
          </w:p>
        </w:tc>
        <w:tc>
          <w:tcPr>
            <w:tcW w:w="4083" w:type="dxa"/>
          </w:tcPr>
          <w:p w14:paraId="463E225F" w14:textId="3B07DE53" w:rsidR="00AD2341" w:rsidRPr="000F3E5C" w:rsidRDefault="00300E32" w:rsidP="00300E32">
            <w:pPr>
              <w:ind w:left="-5"/>
              <w:jc w:val="both"/>
              <w:rPr>
                <w:rFonts w:ascii="Arial" w:hAnsi="Arial" w:cs="Arial"/>
                <w:sz w:val="22"/>
                <w:szCs w:val="22"/>
              </w:rPr>
            </w:pPr>
            <w:r>
              <w:rPr>
                <w:rFonts w:ascii="Arial" w:hAnsi="Arial" w:cs="Arial"/>
                <w:sz w:val="22"/>
                <w:szCs w:val="22"/>
              </w:rPr>
              <w:t xml:space="preserve">“Para introducir el análisis de la dimensión subjetiva se analizarán los datos de la encuesta del PNUD 2002 aislando el efecto de la disponibilidad de ingresos” </w:t>
            </w:r>
            <w:r w:rsidRPr="00300E32">
              <w:rPr>
                <w:rFonts w:ascii="Arial" w:hAnsi="Arial" w:cs="Arial"/>
                <w:sz w:val="22"/>
                <w:szCs w:val="22"/>
              </w:rPr>
              <w:t>(Güell, Godoy &amp; Frei, 2005, p.4)</w:t>
            </w:r>
          </w:p>
        </w:tc>
      </w:tr>
      <w:tr w:rsidR="00AD2341" w:rsidRPr="000F3E5C" w14:paraId="1545BB51" w14:textId="25E4FEC6" w:rsidTr="007E4D74">
        <w:tblPrEx>
          <w:tblCellMar>
            <w:left w:w="70" w:type="dxa"/>
            <w:right w:w="70" w:type="dxa"/>
          </w:tblCellMar>
          <w:tblLook w:val="0000" w:firstRow="0" w:lastRow="0" w:firstColumn="0" w:lastColumn="0" w:noHBand="0" w:noVBand="0"/>
        </w:tblPrEx>
        <w:trPr>
          <w:trHeight w:val="1899"/>
        </w:trPr>
        <w:tc>
          <w:tcPr>
            <w:tcW w:w="2656" w:type="dxa"/>
          </w:tcPr>
          <w:p w14:paraId="1C86D0EE" w14:textId="77777777" w:rsidR="00AD2341" w:rsidRPr="000F3E5C" w:rsidRDefault="00AD2341" w:rsidP="00AD2341">
            <w:pPr>
              <w:ind w:left="-5"/>
              <w:rPr>
                <w:rFonts w:ascii="Arial" w:hAnsi="Arial" w:cs="Arial"/>
                <w:sz w:val="22"/>
                <w:szCs w:val="22"/>
              </w:rPr>
            </w:pPr>
          </w:p>
          <w:p w14:paraId="49A32335" w14:textId="77777777" w:rsidR="00AD2341" w:rsidRPr="000F3E5C" w:rsidRDefault="00AD2341" w:rsidP="00AD2341">
            <w:pPr>
              <w:ind w:left="-5"/>
              <w:rPr>
                <w:rFonts w:ascii="Arial" w:hAnsi="Arial" w:cs="Arial"/>
                <w:sz w:val="22"/>
                <w:szCs w:val="22"/>
              </w:rPr>
            </w:pPr>
          </w:p>
          <w:p w14:paraId="69BB8136" w14:textId="77777777" w:rsidR="00AD2341" w:rsidRPr="000F3E5C" w:rsidRDefault="00AD2341" w:rsidP="00AD2341">
            <w:pPr>
              <w:ind w:left="-5"/>
              <w:rPr>
                <w:rFonts w:ascii="Arial" w:hAnsi="Arial" w:cs="Arial"/>
                <w:sz w:val="22"/>
                <w:szCs w:val="22"/>
              </w:rPr>
            </w:pPr>
          </w:p>
          <w:p w14:paraId="4361BD39" w14:textId="77777777" w:rsidR="00AD2341" w:rsidRPr="000F3E5C" w:rsidRDefault="00AD2341" w:rsidP="00AD2341">
            <w:pPr>
              <w:ind w:left="-5"/>
              <w:rPr>
                <w:rFonts w:ascii="Arial" w:hAnsi="Arial" w:cs="Arial"/>
                <w:sz w:val="22"/>
                <w:szCs w:val="22"/>
              </w:rPr>
            </w:pPr>
          </w:p>
          <w:p w14:paraId="2BF5F1B0" w14:textId="17A500A9" w:rsidR="00AD2341" w:rsidRPr="000F3E5C" w:rsidRDefault="00AD2341" w:rsidP="00AD2341">
            <w:pPr>
              <w:rPr>
                <w:rFonts w:ascii="Arial" w:hAnsi="Arial" w:cs="Arial"/>
                <w:sz w:val="22"/>
                <w:szCs w:val="22"/>
              </w:rPr>
            </w:pPr>
            <w:r w:rsidRPr="000F3E5C">
              <w:rPr>
                <w:rFonts w:ascii="Arial" w:hAnsi="Arial" w:cs="Arial"/>
                <w:sz w:val="22"/>
                <w:szCs w:val="22"/>
              </w:rPr>
              <w:t>Síntesis de lo más destacado</w:t>
            </w:r>
          </w:p>
        </w:tc>
        <w:tc>
          <w:tcPr>
            <w:tcW w:w="4763" w:type="dxa"/>
          </w:tcPr>
          <w:p w14:paraId="6407E4A3" w14:textId="2E57D8C1" w:rsidR="00AD2341" w:rsidRPr="000F3E5C" w:rsidRDefault="007774BA" w:rsidP="007774BA">
            <w:pPr>
              <w:ind w:left="-5"/>
              <w:jc w:val="both"/>
              <w:rPr>
                <w:rFonts w:ascii="Arial" w:hAnsi="Arial" w:cs="Arial"/>
                <w:sz w:val="22"/>
                <w:szCs w:val="22"/>
              </w:rPr>
            </w:pPr>
            <w:r>
              <w:rPr>
                <w:rFonts w:ascii="Arial" w:hAnsi="Arial" w:cs="Arial"/>
                <w:sz w:val="22"/>
                <w:szCs w:val="22"/>
              </w:rPr>
              <w:t>En cuanto al consumo cultural y la subjetividad los autores comentan que el consumo cultural está asociado a una orientación subjetiva postmaterialista, esto significa una apertura al cambio y una crítica a las tradiciones, dando a entender que las prácticas culturales, incluida las musicales pueden ser un medio para que los estudiantes universitarios construyan y expresen su identidad. También se habla que el mayor consumo cultural no se asocia a una identidad particular, sino a una forma flexible de construir identidades, esto es relevante para entender como las prácticas musicales permiten a los universitarios explorar y definir su identidad de forma diversa. Igualmente, los autores mencionan que el grupo de consumo cultural alto incluye predominantemente a personas jóvenes, en específico dicen que en este grupo hay personas entre 18 y 34 años, lo que indica que los adultos jóvenes son los que más consumen música y otros bienes culturales</w:t>
            </w:r>
          </w:p>
        </w:tc>
        <w:tc>
          <w:tcPr>
            <w:tcW w:w="4083" w:type="dxa"/>
          </w:tcPr>
          <w:p w14:paraId="2DF0B1B7" w14:textId="77777777" w:rsidR="00AD2341" w:rsidRDefault="007774BA" w:rsidP="007774BA">
            <w:pPr>
              <w:ind w:left="-5"/>
              <w:jc w:val="both"/>
              <w:rPr>
                <w:rFonts w:ascii="Arial" w:hAnsi="Arial" w:cs="Arial"/>
                <w:sz w:val="22"/>
                <w:szCs w:val="22"/>
              </w:rPr>
            </w:pPr>
            <w:r>
              <w:rPr>
                <w:rFonts w:ascii="Arial" w:hAnsi="Arial" w:cs="Arial"/>
                <w:sz w:val="22"/>
                <w:szCs w:val="22"/>
              </w:rPr>
              <w:t xml:space="preserve">“El consumo cultural abierto y plural pareciera ser el medio de obtención de fuentes de sentido que utilizan las subjetividades individualizadas”. </w:t>
            </w:r>
            <w:r w:rsidRPr="007774BA">
              <w:rPr>
                <w:rFonts w:ascii="Arial" w:hAnsi="Arial" w:cs="Arial"/>
                <w:sz w:val="22"/>
                <w:szCs w:val="22"/>
              </w:rPr>
              <w:t>(Güell, Godoy &amp; Frei, 2005,</w:t>
            </w:r>
            <w:r>
              <w:rPr>
                <w:rFonts w:ascii="Arial" w:hAnsi="Arial" w:cs="Arial"/>
                <w:sz w:val="22"/>
                <w:szCs w:val="22"/>
              </w:rPr>
              <w:t xml:space="preserve"> p.7)</w:t>
            </w:r>
          </w:p>
          <w:p w14:paraId="1F376275" w14:textId="0A1B4C7C" w:rsidR="007E4D74" w:rsidRPr="007E4D74" w:rsidRDefault="007774BA" w:rsidP="007E4D74">
            <w:pPr>
              <w:ind w:left="-5"/>
              <w:jc w:val="both"/>
              <w:rPr>
                <w:rFonts w:ascii="Arial" w:hAnsi="Arial" w:cs="Arial"/>
                <w:sz w:val="22"/>
                <w:szCs w:val="22"/>
              </w:rPr>
            </w:pPr>
            <w:r>
              <w:rPr>
                <w:rFonts w:ascii="Arial" w:hAnsi="Arial" w:cs="Arial"/>
                <w:sz w:val="22"/>
                <w:szCs w:val="22"/>
              </w:rPr>
              <w:t xml:space="preserve">“El mayor consumo cultural más que asociarse a uno u otro tipo de identidad particular pareciera asociarse a una manera específica de construir identidades”. </w:t>
            </w:r>
            <w:r w:rsidRPr="007774BA">
              <w:rPr>
                <w:rFonts w:ascii="Arial" w:hAnsi="Arial" w:cs="Arial"/>
                <w:sz w:val="22"/>
                <w:szCs w:val="22"/>
              </w:rPr>
              <w:t>(Güell, Godoy &amp; Frei, 2005,</w:t>
            </w:r>
            <w:r>
              <w:rPr>
                <w:rFonts w:ascii="Arial" w:hAnsi="Arial" w:cs="Arial"/>
                <w:sz w:val="22"/>
                <w:szCs w:val="22"/>
              </w:rPr>
              <w:t xml:space="preserve"> p.7)</w:t>
            </w:r>
          </w:p>
          <w:p w14:paraId="5D0EA6E7" w14:textId="00EC6C24" w:rsidR="007774BA" w:rsidRPr="000F3E5C" w:rsidRDefault="007E4D74" w:rsidP="007E4D74">
            <w:pPr>
              <w:ind w:left="-5"/>
              <w:jc w:val="both"/>
              <w:rPr>
                <w:rFonts w:ascii="Arial" w:hAnsi="Arial" w:cs="Arial"/>
                <w:sz w:val="22"/>
                <w:szCs w:val="22"/>
              </w:rPr>
            </w:pPr>
            <w:r>
              <w:rPr>
                <w:rFonts w:ascii="Arial" w:hAnsi="Arial" w:cs="Arial"/>
                <w:sz w:val="22"/>
                <w:szCs w:val="22"/>
              </w:rPr>
              <w:t>“</w:t>
            </w:r>
            <w:r w:rsidRPr="007E4D74">
              <w:rPr>
                <w:rFonts w:ascii="Arial" w:hAnsi="Arial" w:cs="Arial"/>
                <w:sz w:val="22"/>
                <w:szCs w:val="22"/>
              </w:rPr>
              <w:t>Finalmente el grupo de consumo cultural alto incluye sólo al 10% de la muestra. Aquí se encuentran quienes consumen entre cuatro y siete de los elementos considerados. Las personas de este grupo tienen altos porcentajes de consumo en todos los ámbitos</w:t>
            </w:r>
            <w:r>
              <w:rPr>
                <w:rFonts w:ascii="Arial" w:hAnsi="Arial" w:cs="Arial"/>
                <w:sz w:val="22"/>
                <w:szCs w:val="22"/>
              </w:rPr>
              <w:t xml:space="preserve"> </w:t>
            </w:r>
            <w:r w:rsidRPr="007E4D74">
              <w:rPr>
                <w:rFonts w:ascii="Arial" w:hAnsi="Arial" w:cs="Arial"/>
                <w:sz w:val="22"/>
                <w:szCs w:val="22"/>
              </w:rPr>
              <w:t>testeados. En este grupo predominan las personas entre 18 y 34 años, hombres, del</w:t>
            </w:r>
            <w:r>
              <w:rPr>
                <w:rFonts w:ascii="Arial" w:hAnsi="Arial" w:cs="Arial"/>
                <w:sz w:val="22"/>
                <w:szCs w:val="22"/>
              </w:rPr>
              <w:t xml:space="preserve"> </w:t>
            </w:r>
            <w:r w:rsidRPr="007E4D74">
              <w:rPr>
                <w:rFonts w:ascii="Arial" w:hAnsi="Arial" w:cs="Arial"/>
                <w:sz w:val="22"/>
                <w:szCs w:val="22"/>
              </w:rPr>
              <w:t>grupo socioeconómico alto, residentes en Santiago</w:t>
            </w:r>
            <w:r>
              <w:rPr>
                <w:rFonts w:ascii="Arial" w:hAnsi="Arial" w:cs="Arial"/>
                <w:sz w:val="22"/>
                <w:szCs w:val="22"/>
              </w:rPr>
              <w:t xml:space="preserve">”. </w:t>
            </w:r>
            <w:r w:rsidRPr="007E4D74">
              <w:rPr>
                <w:rFonts w:ascii="Arial" w:hAnsi="Arial" w:cs="Arial"/>
                <w:sz w:val="22"/>
                <w:szCs w:val="22"/>
              </w:rPr>
              <w:t>(Güell, Godoy &amp; Frei, 2005, p.</w:t>
            </w:r>
            <w:r>
              <w:rPr>
                <w:rFonts w:ascii="Arial" w:hAnsi="Arial" w:cs="Arial"/>
                <w:sz w:val="22"/>
                <w:szCs w:val="22"/>
              </w:rPr>
              <w:t>2)</w:t>
            </w:r>
          </w:p>
        </w:tc>
      </w:tr>
    </w:tbl>
    <w:p w14:paraId="723654B8" w14:textId="77777777" w:rsidR="00AD2341" w:rsidRDefault="00AD2341">
      <w:pPr>
        <w:rPr>
          <w:rFonts w:ascii="Arial" w:hAnsi="Arial" w:cs="Arial"/>
        </w:rPr>
      </w:pPr>
    </w:p>
    <w:p w14:paraId="1D504B89" w14:textId="77777777" w:rsidR="00AD2341" w:rsidRPr="004E56F2" w:rsidRDefault="00AD2341">
      <w:pPr>
        <w:rPr>
          <w:rFonts w:ascii="Arial" w:hAnsi="Arial" w:cs="Arial"/>
        </w:rPr>
      </w:pPr>
    </w:p>
    <w:sectPr w:rsidR="00AD2341" w:rsidRPr="004E56F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ebastián Matías Muñoz Tapia" w:date="2024-12-02T17:16:00Z" w:initials="SM">
    <w:p w14:paraId="59CAD31A" w14:textId="7F414758" w:rsidR="00F85036" w:rsidRDefault="00F85036">
      <w:pPr>
        <w:pStyle w:val="Textocomentario"/>
      </w:pPr>
      <w:r>
        <w:rPr>
          <w:rStyle w:val="Refdecomentario"/>
        </w:rPr>
        <w:annotationRef/>
      </w:r>
      <w:r>
        <w:t xml:space="preserve">Sus fichas no están mal, pero tuvo mucho atraso en la entrega. </w:t>
      </w:r>
    </w:p>
  </w:comment>
  <w:comment w:id="1" w:author="Sebastián Matías Muñoz Tapia" w:date="2024-12-02T17:13:00Z" w:initials="SM">
    <w:p w14:paraId="59121EA1" w14:textId="05AB1A4E" w:rsidR="00F85036" w:rsidRDefault="00F85036">
      <w:pPr>
        <w:pStyle w:val="Textocomentario"/>
      </w:pPr>
      <w:r>
        <w:rPr>
          <w:rStyle w:val="Refdecomentario"/>
        </w:rPr>
        <w:annotationRef/>
      </w:r>
      <w:r>
        <w:t>Debería señalar si se realizó una encuesta o si utilizó una encuesta realizada por otro equipo (datos secundarios)</w:t>
      </w:r>
    </w:p>
  </w:comment>
  <w:comment w:id="2" w:author="Sebastián Matías Muñoz Tapia" w:date="2024-12-02T17:15:00Z" w:initials="SM">
    <w:p w14:paraId="101CC362" w14:textId="614972ED" w:rsidR="00F85036" w:rsidRDefault="00F85036">
      <w:pPr>
        <w:pStyle w:val="Textocomentario"/>
      </w:pPr>
      <w:r>
        <w:rPr>
          <w:rStyle w:val="Refdecomentario"/>
        </w:rPr>
        <w:annotationRef/>
      </w:r>
      <w:r>
        <w:t xml:space="preserve">Una buena forma de presentar la operacionalización es señalar cuáles son los conceptos principales y sus dimensiones.  Si es que en el artículo aparece.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CAD31A" w15:done="0"/>
  <w15:commentEx w15:paraId="59121EA1" w15:done="0"/>
  <w15:commentEx w15:paraId="101CC3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7D4FBD" w16cex:dateUtc="2024-12-02T20:16:00Z"/>
  <w16cex:commentExtensible w16cex:durableId="59A7129A" w16cex:dateUtc="2024-12-02T20:13:00Z"/>
  <w16cex:commentExtensible w16cex:durableId="54D74AC6" w16cex:dateUtc="2024-12-02T2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CAD31A" w16cid:durableId="467D4FBD"/>
  <w16cid:commentId w16cid:paraId="59121EA1" w16cid:durableId="59A7129A"/>
  <w16cid:commentId w16cid:paraId="101CC362" w16cid:durableId="54D74A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4D6D4E" w14:textId="77777777" w:rsidR="00C836A5" w:rsidRDefault="00C836A5" w:rsidP="00C50CF8">
      <w:pPr>
        <w:spacing w:after="0" w:line="240" w:lineRule="auto"/>
      </w:pPr>
      <w:r>
        <w:separator/>
      </w:r>
    </w:p>
  </w:endnote>
  <w:endnote w:type="continuationSeparator" w:id="0">
    <w:p w14:paraId="2267B8F1" w14:textId="77777777" w:rsidR="00C836A5" w:rsidRDefault="00C836A5" w:rsidP="00C50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81FE5F" w14:textId="77777777" w:rsidR="00C836A5" w:rsidRDefault="00C836A5" w:rsidP="00C50CF8">
      <w:pPr>
        <w:spacing w:after="0" w:line="240" w:lineRule="auto"/>
      </w:pPr>
      <w:r>
        <w:separator/>
      </w:r>
    </w:p>
  </w:footnote>
  <w:footnote w:type="continuationSeparator" w:id="0">
    <w:p w14:paraId="435ED64D" w14:textId="77777777" w:rsidR="00C836A5" w:rsidRDefault="00C836A5" w:rsidP="00C50CF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bastián Matías Muñoz Tapia">
    <w15:presenceInfo w15:providerId="AD" w15:userId="S::semunoz@uahurtado.cl::f9558a7c-029f-4590-8bed-1a69c1229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80E"/>
    <w:rsid w:val="00097FC4"/>
    <w:rsid w:val="000F3E5C"/>
    <w:rsid w:val="00176298"/>
    <w:rsid w:val="001B5F51"/>
    <w:rsid w:val="002D421D"/>
    <w:rsid w:val="002F2EC4"/>
    <w:rsid w:val="00300E01"/>
    <w:rsid w:val="00300E32"/>
    <w:rsid w:val="0031215F"/>
    <w:rsid w:val="003E42B6"/>
    <w:rsid w:val="004A3278"/>
    <w:rsid w:val="004D1B98"/>
    <w:rsid w:val="004E56F2"/>
    <w:rsid w:val="005071C5"/>
    <w:rsid w:val="006A469B"/>
    <w:rsid w:val="006E03DA"/>
    <w:rsid w:val="007774BA"/>
    <w:rsid w:val="007B047C"/>
    <w:rsid w:val="007E4D74"/>
    <w:rsid w:val="008C3B8D"/>
    <w:rsid w:val="009B7C4F"/>
    <w:rsid w:val="00A75D81"/>
    <w:rsid w:val="00AD2341"/>
    <w:rsid w:val="00C03A47"/>
    <w:rsid w:val="00C072EB"/>
    <w:rsid w:val="00C24FAD"/>
    <w:rsid w:val="00C50CF8"/>
    <w:rsid w:val="00C836A5"/>
    <w:rsid w:val="00CF5090"/>
    <w:rsid w:val="00D659D4"/>
    <w:rsid w:val="00E52C63"/>
    <w:rsid w:val="00F85036"/>
    <w:rsid w:val="00FA080E"/>
    <w:rsid w:val="00FC5C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2FCD"/>
  <w15:chartTrackingRefBased/>
  <w15:docId w15:val="{098F4293-0E9F-4C58-9632-9F0E51D0D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08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A08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A080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A080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A080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A080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A080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A080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A080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080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A080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A080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A080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A080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A080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A080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A080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A080E"/>
    <w:rPr>
      <w:rFonts w:eastAsiaTheme="majorEastAsia" w:cstheme="majorBidi"/>
      <w:color w:val="272727" w:themeColor="text1" w:themeTint="D8"/>
    </w:rPr>
  </w:style>
  <w:style w:type="paragraph" w:styleId="Ttulo">
    <w:name w:val="Title"/>
    <w:basedOn w:val="Normal"/>
    <w:next w:val="Normal"/>
    <w:link w:val="TtuloCar"/>
    <w:uiPriority w:val="10"/>
    <w:qFormat/>
    <w:rsid w:val="00FA08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A08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A080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A080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A080E"/>
    <w:pPr>
      <w:spacing w:before="160"/>
      <w:jc w:val="center"/>
    </w:pPr>
    <w:rPr>
      <w:i/>
      <w:iCs/>
      <w:color w:val="404040" w:themeColor="text1" w:themeTint="BF"/>
    </w:rPr>
  </w:style>
  <w:style w:type="character" w:customStyle="1" w:styleId="CitaCar">
    <w:name w:val="Cita Car"/>
    <w:basedOn w:val="Fuentedeprrafopredeter"/>
    <w:link w:val="Cita"/>
    <w:uiPriority w:val="29"/>
    <w:rsid w:val="00FA080E"/>
    <w:rPr>
      <w:i/>
      <w:iCs/>
      <w:color w:val="404040" w:themeColor="text1" w:themeTint="BF"/>
    </w:rPr>
  </w:style>
  <w:style w:type="paragraph" w:styleId="Prrafodelista">
    <w:name w:val="List Paragraph"/>
    <w:basedOn w:val="Normal"/>
    <w:uiPriority w:val="34"/>
    <w:qFormat/>
    <w:rsid w:val="00FA080E"/>
    <w:pPr>
      <w:ind w:left="720"/>
      <w:contextualSpacing/>
    </w:pPr>
  </w:style>
  <w:style w:type="character" w:styleId="nfasisintenso">
    <w:name w:val="Intense Emphasis"/>
    <w:basedOn w:val="Fuentedeprrafopredeter"/>
    <w:uiPriority w:val="21"/>
    <w:qFormat/>
    <w:rsid w:val="00FA080E"/>
    <w:rPr>
      <w:i/>
      <w:iCs/>
      <w:color w:val="0F4761" w:themeColor="accent1" w:themeShade="BF"/>
    </w:rPr>
  </w:style>
  <w:style w:type="paragraph" w:styleId="Citadestacada">
    <w:name w:val="Intense Quote"/>
    <w:basedOn w:val="Normal"/>
    <w:next w:val="Normal"/>
    <w:link w:val="CitadestacadaCar"/>
    <w:uiPriority w:val="30"/>
    <w:qFormat/>
    <w:rsid w:val="00FA08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A080E"/>
    <w:rPr>
      <w:i/>
      <w:iCs/>
      <w:color w:val="0F4761" w:themeColor="accent1" w:themeShade="BF"/>
    </w:rPr>
  </w:style>
  <w:style w:type="character" w:styleId="Referenciaintensa">
    <w:name w:val="Intense Reference"/>
    <w:basedOn w:val="Fuentedeprrafopredeter"/>
    <w:uiPriority w:val="32"/>
    <w:qFormat/>
    <w:rsid w:val="00FA080E"/>
    <w:rPr>
      <w:b/>
      <w:bCs/>
      <w:smallCaps/>
      <w:color w:val="0F4761" w:themeColor="accent1" w:themeShade="BF"/>
      <w:spacing w:val="5"/>
    </w:rPr>
  </w:style>
  <w:style w:type="table" w:styleId="Tablaconcuadrcula">
    <w:name w:val="Table Grid"/>
    <w:basedOn w:val="Tablanormal"/>
    <w:uiPriority w:val="39"/>
    <w:rsid w:val="00C50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50C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0CF8"/>
  </w:style>
  <w:style w:type="paragraph" w:styleId="Piedepgina">
    <w:name w:val="footer"/>
    <w:basedOn w:val="Normal"/>
    <w:link w:val="PiedepginaCar"/>
    <w:uiPriority w:val="99"/>
    <w:unhideWhenUsed/>
    <w:rsid w:val="00C50C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0CF8"/>
  </w:style>
  <w:style w:type="character" w:styleId="Hipervnculo">
    <w:name w:val="Hyperlink"/>
    <w:basedOn w:val="Fuentedeprrafopredeter"/>
    <w:uiPriority w:val="99"/>
    <w:unhideWhenUsed/>
    <w:rsid w:val="006A469B"/>
    <w:rPr>
      <w:color w:val="467886" w:themeColor="hyperlink"/>
      <w:u w:val="single"/>
    </w:rPr>
  </w:style>
  <w:style w:type="character" w:styleId="Mencinsinresolver">
    <w:name w:val="Unresolved Mention"/>
    <w:basedOn w:val="Fuentedeprrafopredeter"/>
    <w:uiPriority w:val="99"/>
    <w:semiHidden/>
    <w:unhideWhenUsed/>
    <w:rsid w:val="006A469B"/>
    <w:rPr>
      <w:color w:val="605E5C"/>
      <w:shd w:val="clear" w:color="auto" w:fill="E1DFDD"/>
    </w:rPr>
  </w:style>
  <w:style w:type="character" w:styleId="Refdecomentario">
    <w:name w:val="annotation reference"/>
    <w:basedOn w:val="Fuentedeprrafopredeter"/>
    <w:uiPriority w:val="99"/>
    <w:semiHidden/>
    <w:unhideWhenUsed/>
    <w:rsid w:val="00F85036"/>
    <w:rPr>
      <w:sz w:val="16"/>
      <w:szCs w:val="16"/>
    </w:rPr>
  </w:style>
  <w:style w:type="paragraph" w:styleId="Textocomentario">
    <w:name w:val="annotation text"/>
    <w:basedOn w:val="Normal"/>
    <w:link w:val="TextocomentarioCar"/>
    <w:uiPriority w:val="99"/>
    <w:semiHidden/>
    <w:unhideWhenUsed/>
    <w:rsid w:val="00F8503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85036"/>
    <w:rPr>
      <w:sz w:val="20"/>
      <w:szCs w:val="20"/>
    </w:rPr>
  </w:style>
  <w:style w:type="paragraph" w:styleId="Asuntodelcomentario">
    <w:name w:val="annotation subject"/>
    <w:basedOn w:val="Textocomentario"/>
    <w:next w:val="Textocomentario"/>
    <w:link w:val="AsuntodelcomentarioCar"/>
    <w:uiPriority w:val="99"/>
    <w:semiHidden/>
    <w:unhideWhenUsed/>
    <w:rsid w:val="00F85036"/>
    <w:rPr>
      <w:b/>
      <w:bCs/>
    </w:rPr>
  </w:style>
  <w:style w:type="character" w:customStyle="1" w:styleId="AsuntodelcomentarioCar">
    <w:name w:val="Asunto del comentario Car"/>
    <w:basedOn w:val="TextocomentarioCar"/>
    <w:link w:val="Asuntodelcomentario"/>
    <w:uiPriority w:val="99"/>
    <w:semiHidden/>
    <w:rsid w:val="00F850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2d21b06-c64c-4b8f-8164-9aaf36f1b96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BAF292-680F-4BFC-ABF6-819FAA23D819}">
  <ds:schemaRefs>
    <ds:schemaRef ds:uri="http://schemas.microsoft.com/office/2006/metadata/properties"/>
    <ds:schemaRef ds:uri="http://schemas.microsoft.com/office/infopath/2007/PartnerControls"/>
    <ds:schemaRef ds:uri="d2d21b06-c64c-4b8f-8164-9aaf36f1b964"/>
  </ds:schemaRefs>
</ds:datastoreItem>
</file>

<file path=customXml/itemProps2.xml><?xml version="1.0" encoding="utf-8"?>
<ds:datastoreItem xmlns:ds="http://schemas.openxmlformats.org/officeDocument/2006/customXml" ds:itemID="{74AD8414-B631-40AA-B8C8-F76406DC0F2B}">
  <ds:schemaRefs>
    <ds:schemaRef ds:uri="http://schemas.microsoft.com/sharepoint/v3/contenttype/forms"/>
  </ds:schemaRefs>
</ds:datastoreItem>
</file>

<file path=customXml/itemProps3.xml><?xml version="1.0" encoding="utf-8"?>
<ds:datastoreItem xmlns:ds="http://schemas.openxmlformats.org/officeDocument/2006/customXml" ds:itemID="{377F6723-8AFC-4358-B3FE-248A29E0FD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d21b06-c64c-4b8f-8164-9aaf36f1b9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1599</Words>
  <Characters>8798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ANDREA JORQUERA GUTIÉRREZ</dc:creator>
  <cp:keywords/>
  <dc:description/>
  <cp:lastModifiedBy>Sebastián Matías Muñoz Tapia</cp:lastModifiedBy>
  <cp:revision>3</cp:revision>
  <dcterms:created xsi:type="dcterms:W3CDTF">2024-10-22T01:19:00Z</dcterms:created>
  <dcterms:modified xsi:type="dcterms:W3CDTF">2024-12-02T20:16:00Z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0x0101005E43F7DBB14F6F47A04E3AFA8F4A684F</vt:lpwstr>
  </property>
</Properties>
</file>