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MÓDULO 1: IDENTIFICACIÓN - Centro de Inteligencia Territorial y Supervision de Riesgos - CITES</w:t>
      </w:r>
    </w:p>
    <w:p>
      <w:pPr>
        <w:jc w:val="both"/>
      </w:pPr>
      <w:r>
        <w:t>Código BPIN: Por asignar | Localización: Colón, Putumayo - Cobertura Nacional</w:t>
      </w:r>
    </w:p>
    <w:p>
      <w:pPr>
        <w:pStyle w:val="Heading2"/>
      </w:pPr>
      <w:r>
        <w:t>Capítulo 1: Plan de Desarrollo y Política Pública</w:t>
      </w:r>
    </w:p>
    <w:p>
      <w:r>
        <w:t>Contribución a Políticas:</w:t>
      </w:r>
    </w:p>
    <w:p>
      <w:pPr>
        <w:pStyle w:val="ListBullet"/>
      </w:pPr>
      <w:r>
        <w:t>PND 2022-2026: Colombia Potencia Mundial de la Vida - Estrategia IA y Soberanía.</w:t>
      </w:r>
    </w:p>
    <w:p>
      <w:pPr>
        <w:pStyle w:val="ListBullet"/>
      </w:pPr>
      <w:r>
        <w:t>PNGRD 2024-2028: Prevención y reducción del riesgo.</w:t>
      </w:r>
    </w:p>
    <w:p>
      <w:pPr>
        <w:pStyle w:val="ListBullet"/>
      </w:pPr>
      <w:r>
        <w:t>Planes Territoriales: Putumayo, Chocó, Córdoba (Gestión del Riesgo).</w:t>
      </w:r>
    </w:p>
    <w:p>
      <w:pPr>
        <w:pStyle w:val="Heading2"/>
      </w:pPr>
      <w:r>
        <w:t>Capítulo 2: Problemática</w:t>
      </w:r>
    </w:p>
    <w:p>
      <w:pPr>
        <w:jc w:val="both"/>
      </w:pPr>
      <w:r>
        <w:t>Problema Central: Limitada capacidad de anticipacion, supervision y respuesta ante riesgos de desastres en territorios vulnerables de Colombia...</w:t>
      </w:r>
    </w:p>
    <w:p>
      <w:pPr>
        <w:jc w:val="both"/>
      </w:pPr>
      <w:r>
        <w:t>Magnitud Actual: Costo anual atencion desastres: $850,000 millones. Municipios con alertas: 13%.</w:t>
      </w:r>
    </w:p>
    <w:p>
      <w:r>
        <w:t>Árbol de Causas:</w:t>
      </w:r>
    </w:p>
    <w:p>
      <w:pPr>
        <w:pStyle w:val="ListBullet"/>
      </w:pPr>
      <w:r>
        <w:t>Directa: Debilidad en la supervision tecnica de obras de mitigacion</w:t>
      </w:r>
    </w:p>
    <w:p>
      <w:pPr>
        <w:pStyle w:val="ListBullet"/>
      </w:pPr>
      <w:r>
        <w:t>Directa: Carencia de enfoque diferencial en sistemas de alerta temprana</w:t>
      </w:r>
    </w:p>
    <w:p>
      <w:pPr>
        <w:pStyle w:val="ListBullet"/>
      </w:pPr>
      <w:r>
        <w:t>Directa: Obsolescencia tecnologica en prediccion hidrometeorologica</w:t>
      </w:r>
    </w:p>
    <w:p>
      <w:pPr>
        <w:pStyle w:val="ListBullet"/>
      </w:pPr>
      <w:r>
        <w:t>Indirecta: Falta de veeduria contractual especializada</w:t>
      </w:r>
    </w:p>
    <w:p>
      <w:pPr>
        <w:pStyle w:val="ListBullet"/>
      </w:pPr>
      <w:r>
        <w:t>Indirecta: Ausencia de integracion de saberes ancestrales</w:t>
      </w:r>
    </w:p>
    <w:p>
      <w:pPr>
        <w:pStyle w:val="ListBullet"/>
      </w:pPr>
      <w:r>
        <w:t>Indirecta: Dependencia de tecnologias extranjeras</w:t>
      </w:r>
    </w:p>
    <w:p>
      <w:r>
        <w:t>Árbol de Efectos:</w:t>
      </w:r>
    </w:p>
    <w:p>
      <w:pPr>
        <w:pStyle w:val="ListBullet"/>
      </w:pPr>
      <w:r>
        <w:t>Directo: Perdida de vidas humanas por eventos previsibles</w:t>
      </w:r>
    </w:p>
    <w:p>
      <w:pPr>
        <w:pStyle w:val="ListBullet"/>
      </w:pPr>
      <w:r>
        <w:t>Directo: Detrimento patrimonial por inversiones ineficientes</w:t>
      </w:r>
    </w:p>
    <w:p>
      <w:pPr>
        <w:pStyle w:val="ListBullet"/>
      </w:pPr>
      <w:r>
        <w:t>Directo: Dependencia tecnologica extranjera</w:t>
      </w:r>
    </w:p>
    <w:p>
      <w:pPr>
        <w:pStyle w:val="ListBullet"/>
      </w:pPr>
      <w:r>
        <w:t>Indirecto: Aumento de victimas mortales</w:t>
      </w:r>
    </w:p>
    <w:p>
      <w:pPr>
        <w:pStyle w:val="ListBullet"/>
      </w:pPr>
      <w:r>
        <w:t>Indirecto: Perdidas economicas en sector agropecuario</w:t>
      </w:r>
    </w:p>
    <w:p>
      <w:pPr>
        <w:pStyle w:val="ListBullet"/>
      </w:pPr>
      <w:r>
        <w:t>Indirecto: Desconfianza ciudadana</w:t>
      </w:r>
    </w:p>
    <w:p>
      <w:pPr>
        <w:pStyle w:val="Heading2"/>
      </w:pPr>
      <w:r>
        <w:t>Capítulo 3: Participantes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Entidad</w:t>
            </w:r>
          </w:p>
        </w:tc>
        <w:tc>
          <w:tcPr>
            <w:tcW w:type="dxa" w:w="3120"/>
          </w:tcPr>
          <w:p>
            <w:r>
              <w:t>Posición</w:t>
            </w:r>
          </w:p>
        </w:tc>
        <w:tc>
          <w:tcPr>
            <w:tcW w:type="dxa" w:w="3120"/>
          </w:tcPr>
          <w:p>
            <w:r>
              <w:t>Intereses</w:t>
            </w:r>
          </w:p>
        </w:tc>
      </w:tr>
      <w:tr>
        <w:tc>
          <w:tcPr>
            <w:tcW w:type="dxa" w:w="3120"/>
          </w:tcPr>
          <w:p>
            <w:r>
              <w:t>Comunidades Indígenas</w:t>
            </w:r>
          </w:p>
        </w:tc>
        <w:tc>
          <w:tcPr>
            <w:tcW w:type="dxa" w:w="3120"/>
          </w:tcPr>
          <w:p>
            <w:r>
              <w:t>Beneficiario</w:t>
            </w:r>
          </w:p>
        </w:tc>
        <w:tc>
          <w:tcPr>
            <w:tcW w:type="dxa" w:w="3120"/>
          </w:tcPr>
          <w:p>
            <w:r>
              <w:t>Alertas en lenguas nativas</w:t>
            </w:r>
          </w:p>
        </w:tc>
      </w:tr>
      <w:tr>
        <w:tc>
          <w:tcPr>
            <w:tcW w:type="dxa" w:w="3120"/>
          </w:tcPr>
          <w:p>
            <w:r>
              <w:t>UNGRD</w:t>
            </w:r>
          </w:p>
        </w:tc>
        <w:tc>
          <w:tcPr>
            <w:tcW w:type="dxa" w:w="3120"/>
          </w:tcPr>
          <w:p>
            <w:r>
              <w:t>Cooperante</w:t>
            </w:r>
          </w:p>
        </w:tc>
        <w:tc>
          <w:tcPr>
            <w:tcW w:type="dxa" w:w="3120"/>
          </w:tcPr>
          <w:p>
            <w:r>
              <w:t>Fortalecimiento SNGRD</w:t>
            </w:r>
          </w:p>
        </w:tc>
      </w:tr>
      <w:tr>
        <w:tc>
          <w:tcPr>
            <w:tcW w:type="dxa" w:w="3120"/>
          </w:tcPr>
          <w:p>
            <w:r>
              <w:t>Actores políticos locales</w:t>
            </w:r>
          </w:p>
        </w:tc>
        <w:tc>
          <w:tcPr>
            <w:tcW w:type="dxa" w:w="3120"/>
          </w:tcPr>
          <w:p>
            <w:r>
              <w:t>Oponente (Posible)</w:t>
            </w:r>
          </w:p>
        </w:tc>
        <w:tc>
          <w:tcPr>
            <w:tcW w:type="dxa" w:w="3120"/>
          </w:tcPr>
          <w:p>
            <w:r>
              <w:t>Status quo contractual</w:t>
            </w:r>
          </w:p>
        </w:tc>
      </w:tr>
    </w:tbl>
    <w:p>
      <w:pPr>
        <w:pStyle w:val="Heading2"/>
      </w:pPr>
      <w:r>
        <w:t>Capítulo 4: Población</w:t>
      </w:r>
    </w:p>
    <w:p>
      <w:pPr>
        <w:jc w:val="both"/>
      </w:pPr>
      <w:r>
        <w:t>Población Objetivo: 5,000,000 habitantes en Nacional (Prioridad: Putumayo, Chocó, Caribe).</w:t>
      </w:r>
    </w:p>
    <w:p>
      <w:pPr>
        <w:jc w:val="both"/>
      </w:pPr>
      <w:r>
        <w:t>Fuente: DANE 2024, registros UNGRD</w:t>
      </w:r>
    </w:p>
    <w:p>
      <w:r>
        <w:t>Características Demográficas:</w:t>
      </w:r>
    </w:p>
    <w:p>
      <w:pPr>
        <w:pStyle w:val="ListBullet"/>
      </w:pPr>
      <w:r>
        <w:t>Indígenas: 850,000</w:t>
      </w:r>
    </w:p>
    <w:p>
      <w:pPr>
        <w:pStyle w:val="ListBullet"/>
      </w:pPr>
      <w:r>
        <w:t>Afrodescendientes: 1,200,000</w:t>
      </w:r>
    </w:p>
    <w:p>
      <w:pPr>
        <w:pStyle w:val="ListBullet"/>
      </w:pPr>
      <w:r>
        <w:t>Pobreza &gt; 40% en zonas prioritarias</w:t>
      </w:r>
    </w:p>
    <w:p>
      <w:pPr>
        <w:pStyle w:val="Heading2"/>
      </w:pPr>
      <w:r>
        <w:t>Capítulo 5: Objetivos</w:t>
      </w:r>
    </w:p>
    <w:p>
      <w:pPr>
        <w:jc w:val="both"/>
      </w:pPr>
      <w:r>
        <w:t>Objetivo General: Optimizar los procesos de formulacion del proyecto CITES garantizando estructuracion tecnica para ingreso al BPIN.</w:t>
      </w:r>
    </w:p>
    <w:p>
      <w:r>
        <w:t>Objetivos Específicos:</w:t>
      </w:r>
    </w:p>
    <w:p>
      <w:pPr>
        <w:pStyle w:val="ListBullet"/>
      </w:pPr>
      <w:r>
        <w:t>Administrar herramienta de facil uso para coherencia logica.</w:t>
      </w:r>
    </w:p>
    <w:p>
      <w:pPr>
        <w:pStyle w:val="ListBullet"/>
      </w:pPr>
      <w:r>
        <w:t>Realizar control de formulacion desde el inicio.</w:t>
      </w:r>
    </w:p>
    <w:p>
      <w:pPr>
        <w:pStyle w:val="ListBullet"/>
      </w:pPr>
      <w:r>
        <w:t>Brindar guia paso a paso al usuario.</w:t>
      </w:r>
    </w:p>
    <w:p>
      <w:pPr>
        <w:pStyle w:val="ListBullet"/>
      </w:pPr>
      <w:r>
        <w:t>Definir criterios claros para viabilizacion.</w:t>
      </w:r>
    </w:p>
    <w:p>
      <w:pPr>
        <w:pStyle w:val="Heading2"/>
      </w:pPr>
      <w:r>
        <w:t>Capítulo 6: Alternativas de 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Alternativa</w:t>
            </w:r>
          </w:p>
        </w:tc>
        <w:tc>
          <w:tcPr>
            <w:tcW w:type="dxa" w:w="3120"/>
          </w:tcPr>
          <w:p>
            <w:r>
              <w:t>Seleccionada</w:t>
            </w:r>
          </w:p>
        </w:tc>
        <w:tc>
          <w:tcPr>
            <w:tcW w:type="dxa" w:w="3120"/>
          </w:tcPr>
          <w:p>
            <w:r>
              <w:t>Descripción</w:t>
            </w:r>
          </w:p>
        </w:tc>
      </w:tr>
      <w:tr>
        <w:tc>
          <w:tcPr>
            <w:tcW w:type="dxa" w:w="3120"/>
          </w:tcPr>
          <w:p>
            <w:r>
              <w:t>CITES - Centro Completo</w:t>
            </w:r>
          </w:p>
        </w:tc>
        <w:tc>
          <w:tcPr>
            <w:tcW w:type="dxa" w:w="3120"/>
          </w:tcPr>
          <w:p>
            <w:r>
              <w:t>SI</w:t>
            </w:r>
          </w:p>
        </w:tc>
        <w:tc>
          <w:tcPr>
            <w:tcW w:type="dxa" w:w="3120"/>
          </w:tcPr>
          <w:p>
            <w:r>
              <w:t>Implementación completa Putumayo, LIDAR/IA.</w:t>
            </w:r>
          </w:p>
        </w:tc>
      </w:tr>
      <w:tr>
        <w:tc>
          <w:tcPr>
            <w:tcW w:type="dxa" w:w="3120"/>
          </w:tcPr>
          <w:p>
            <w:r>
              <w:t>Ampliación UNGRD</w:t>
            </w:r>
          </w:p>
        </w:tc>
        <w:tc>
          <w:tcPr>
            <w:tcW w:type="dxa" w:w="3120"/>
          </w:tcPr>
          <w:p>
            <w:r>
              <w:t>NO</w:t>
            </w:r>
          </w:p>
        </w:tc>
        <w:tc>
          <w:tcPr>
            <w:tcW w:type="dxa" w:w="3120"/>
          </w:tcPr>
          <w:p>
            <w:r>
              <w:t>Más personal y equipos básicos.</w:t>
            </w:r>
          </w:p>
        </w:tc>
      </w:tr>
      <w:tr>
        <w:tc>
          <w:tcPr>
            <w:tcW w:type="dxa" w:w="3120"/>
          </w:tcPr>
          <w:p>
            <w:r>
              <w:t>Centros Regionales</w:t>
            </w:r>
          </w:p>
        </w:tc>
        <w:tc>
          <w:tcPr>
            <w:tcW w:type="dxa" w:w="3120"/>
          </w:tcPr>
          <w:p>
            <w:r>
              <w:t>NO</w:t>
            </w:r>
          </w:p>
        </w:tc>
        <w:tc>
          <w:tcPr>
            <w:tcW w:type="dxa" w:w="3120"/>
          </w:tcPr>
          <w:p>
            <w:r>
              <w:t>5 centros pequeños sin tecnología avanzada.</w:t>
            </w:r>
          </w:p>
        </w:tc>
      </w:tr>
    </w:tbl>
    <w:p>
      <w:pPr>
        <w:jc w:val="both"/>
      </w:pPr>
      <w:r>
        <w:t>Justificación Selección: Combina tecnología de punta, soberanía y alto impacto social.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