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IDENTIFICACIÓN: Tecnificación Agroindustrial Córdoba 2026</w:t>
      </w:r>
    </w:p>
    <w:p>
      <w:pPr>
        <w:jc w:val="both"/>
      </w:pPr>
      <w:r>
        <w:t>El problema central identificado es: Baja productividad en el sector agroindustrial debido a falta de tecnificación.</w:t>
      </w:r>
    </w:p>
    <w:p>
      <w:r>
        <w:t>Causas Directas:</w:t>
      </w:r>
    </w:p>
    <w:p>
      <w:pPr>
        <w:pStyle w:val="ListBullet"/>
      </w:pPr>
      <w:r>
        <w:t>Maquinaria obsoleta</w:t>
      </w:r>
    </w:p>
    <w:p>
      <w:pPr>
        <w:pStyle w:val="ListBullet"/>
      </w:pPr>
      <w:r>
        <w:t>Falta de capacitación</w:t>
      </w:r>
    </w:p>
    <w:p>
      <w:r>
        <w:t>Efectos Directos:</w:t>
      </w:r>
    </w:p>
    <w:p>
      <w:pPr>
        <w:pStyle w:val="ListBullet"/>
      </w:pPr>
      <w:r>
        <w:t>Bajos ingresos</w:t>
      </w:r>
    </w:p>
    <w:p>
      <w:pPr>
        <w:pStyle w:val="ListBullet"/>
      </w:pPr>
      <w:r>
        <w:t>Desempleo rural</w:t>
      </w:r>
    </w:p>
    <w:p>
      <w:pPr>
        <w:pStyle w:val="Heading2"/>
      </w:pPr>
      <w:r>
        <w:t>1.1 Población Afectada</w:t>
      </w:r>
    </w:p>
    <w:p>
      <w:pPr>
        <w:jc w:val="both"/>
      </w:pPr>
      <w:r>
        <w:t>La población objetivo se ubica en Córdoba y asciende a 50,000 habitantes.</w:t>
      </w:r>
    </w:p>
    <w:p>
      <w:pPr>
        <w:pStyle w:val="Heading2"/>
      </w:pPr>
      <w:r>
        <w:t>1.2 Alternativas de Solución</w:t>
      </w:r>
    </w:p>
    <w:p>
      <w:r>
        <w:br w:type="page"/>
      </w:r>
    </w:p>
    <w:p>
      <w:pPr>
        <w:pStyle w:val="Heading1"/>
      </w:pPr>
      <w:r>
        <w:t>2. PREPARACIÓN</w:t>
      </w:r>
    </w:p>
    <w:p>
      <w:pPr>
        <w:pStyle w:val="Heading2"/>
      </w:pPr>
      <w:r>
        <w:t>2.1 Estudio de Mercado</w:t>
      </w:r>
    </w:p>
    <w:p>
      <w:pPr>
        <w:jc w:val="both"/>
      </w:pPr>
      <w:r>
        <w:t>Existe una demanda insatisfecha de productos procesados en la región Caribe de 500 toneladas anuales.</w:t>
      </w:r>
    </w:p>
    <w:p>
      <w:pPr>
        <w:pStyle w:val="Heading2"/>
      </w:pPr>
      <w:r>
        <w:t>2.2 Estudio Técnico</w:t>
      </w:r>
    </w:p>
    <w:p>
      <w:pPr>
        <w:jc w:val="both"/>
      </w:pPr>
      <w:r>
        <w:t>El costo total estimado de inversión asciende a $1,050,000,000.00.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Item</w:t>
            </w:r>
          </w:p>
        </w:tc>
        <w:tc>
          <w:tcPr>
            <w:tcW w:type="dxa" w:w="1872"/>
          </w:tcPr>
          <w:p>
            <w:r>
              <w:t>Und</w:t>
            </w:r>
          </w:p>
        </w:tc>
        <w:tc>
          <w:tcPr>
            <w:tcW w:type="dxa" w:w="1872"/>
          </w:tcPr>
          <w:p>
            <w:r>
              <w:t>Cant</w:t>
            </w:r>
          </w:p>
        </w:tc>
        <w:tc>
          <w:tcPr>
            <w:tcW w:type="dxa" w:w="1872"/>
          </w:tcPr>
          <w:p>
            <w:r>
              <w:t>Vr.Unit</w:t>
            </w:r>
          </w:p>
        </w:tc>
        <w:tc>
          <w:tcPr>
            <w:tcW w:type="dxa" w:w="1872"/>
          </w:tcPr>
          <w:p>
            <w:r>
              <w:t>Total</w:t>
            </w:r>
          </w:p>
        </w:tc>
      </w:tr>
      <w:tr>
        <w:tc>
          <w:tcPr>
            <w:tcW w:type="dxa" w:w="1872"/>
          </w:tcPr>
          <w:p>
            <w:r>
              <w:t>Maquinaria Industrial</w:t>
            </w:r>
          </w:p>
        </w:tc>
        <w:tc>
          <w:tcPr>
            <w:tcW w:type="dxa" w:w="1872"/>
          </w:tcPr>
          <w:p>
            <w:r>
              <w:t>Unidad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$500,000,000.00</w:t>
            </w:r>
          </w:p>
        </w:tc>
        <w:tc>
          <w:tcPr>
            <w:tcW w:type="dxa" w:w="1872"/>
          </w:tcPr>
          <w:p>
            <w:r>
              <w:t>$1,000,000,000.00</w:t>
            </w:r>
          </w:p>
        </w:tc>
      </w:tr>
      <w:tr>
        <w:tc>
          <w:tcPr>
            <w:tcW w:type="dxa" w:w="1872"/>
          </w:tcPr>
          <w:p>
            <w:r>
              <w:t>Capacitación</w:t>
            </w:r>
          </w:p>
        </w:tc>
        <w:tc>
          <w:tcPr>
            <w:tcW w:type="dxa" w:w="1872"/>
          </w:tcPr>
          <w:p>
            <w:r>
              <w:t>Sesiones</w:t>
            </w:r>
          </w:p>
        </w:tc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$5,000,000.00</w:t>
            </w:r>
          </w:p>
        </w:tc>
        <w:tc>
          <w:tcPr>
            <w:tcW w:type="dxa" w:w="1872"/>
          </w:tcPr>
          <w:p>
            <w:r>
              <w:t>$50,000,000.00</w:t>
            </w:r>
          </w:p>
        </w:tc>
      </w:tr>
    </w:tbl>
    <w:p>
      <w:r>
        <w:br w:type="page"/>
      </w:r>
    </w:p>
    <w:p>
      <w:pPr>
        <w:pStyle w:val="Heading1"/>
      </w:pPr>
      <w:r>
        <w:t>3. EVALUACIÓN</w:t>
      </w:r>
    </w:p>
    <w:p>
      <w:pPr>
        <w:jc w:val="both"/>
      </w:pPr>
      <w:r>
        <w:t>La evaluación financiera se realizó con una Tasa de Descuento del 12.0%.</w:t>
      </w:r>
    </w:p>
    <w:p>
      <w:r>
        <w:t>Indicadores de Rentabilidad:</w:t>
      </w:r>
    </w:p>
    <w:p>
      <w:pPr>
        <w:pStyle w:val="ListBullet"/>
      </w:pPr>
      <w:r>
        <w:t>Valor Presente Neto (VPN): $211,671,670.82</w:t>
      </w:r>
    </w:p>
    <w:p>
      <w:pPr>
        <w:pStyle w:val="ListBullet"/>
      </w:pPr>
      <w:r>
        <w:t>Tasa Interna de Retorno (TIR): 19.86%</w:t>
      </w:r>
    </w:p>
    <w:p>
      <w:pPr>
        <w:pStyle w:val="ListBullet"/>
      </w:pPr>
      <w:r>
        <w:t>Relación Beneficio/Costo (RBC): 1.15</w:t>
      </w:r>
    </w:p>
    <w:p>
      <w:pPr>
        <w:jc w:val="both"/>
      </w:pPr>
      <w:r>
        <w:t>El proyecto es VIABLE financieramente.</w:t>
      </w:r>
    </w:p>
    <w:p>
      <w:r>
        <w:br w:type="page"/>
      </w:r>
    </w:p>
    <w:p>
      <w:pPr>
        <w:pStyle w:val="Heading1"/>
      </w:pPr>
      <w:r>
        <w:t>4. PROGRAMACIÓN</w:t>
      </w:r>
    </w:p>
    <w:p>
      <w:pPr>
        <w:pStyle w:val="Heading2"/>
      </w:pPr>
      <w:r>
        <w:t>4.1 Fuentes de Financiación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Fuente</w:t>
            </w:r>
          </w:p>
        </w:tc>
        <w:tc>
          <w:tcPr>
            <w:tcW w:type="dxa" w:w="3120"/>
          </w:tcPr>
          <w:p>
            <w:r>
              <w:t>Tipo</w:t>
            </w:r>
          </w:p>
        </w:tc>
        <w:tc>
          <w:tcPr>
            <w:tcW w:type="dxa" w:w="3120"/>
          </w:tcPr>
          <w:p>
            <w:r>
              <w:t>Monto</w:t>
            </w:r>
          </w:p>
        </w:tc>
      </w:tr>
      <w:tr>
        <w:tc>
          <w:tcPr>
            <w:tcW w:type="dxa" w:w="3120"/>
          </w:tcPr>
          <w:p>
            <w:r>
              <w:t>SGR - Regalías</w:t>
            </w:r>
          </w:p>
        </w:tc>
        <w:tc>
          <w:tcPr>
            <w:tcW w:type="dxa" w:w="3120"/>
          </w:tcPr>
          <w:p>
            <w:r>
              <w:t>Inversión</w:t>
            </w:r>
          </w:p>
        </w:tc>
        <w:tc>
          <w:tcPr>
            <w:tcW w:type="dxa" w:w="3120"/>
          </w:tcPr>
          <w:p>
            <w:r>
              <w:t>$800,000,000.00</w:t>
            </w:r>
          </w:p>
        </w:tc>
      </w:tr>
      <w:tr>
        <w:tc>
          <w:tcPr>
            <w:tcW w:type="dxa" w:w="3120"/>
          </w:tcPr>
          <w:p>
            <w:r>
              <w:t>Alcaldía</w:t>
            </w:r>
          </w:p>
        </w:tc>
        <w:tc>
          <w:tcPr>
            <w:tcW w:type="dxa" w:w="3120"/>
          </w:tcPr>
          <w:p>
            <w:r>
              <w:t>Cofinanciación</w:t>
            </w:r>
          </w:p>
        </w:tc>
        <w:tc>
          <w:tcPr>
            <w:tcW w:type="dxa" w:w="3120"/>
          </w:tcPr>
          <w:p>
            <w:r>
              <w:t>$250,000,000.00</w:t>
            </w:r>
          </w:p>
        </w:tc>
      </w:tr>
      <w:tr>
        <w:tc>
          <w:tcPr>
            <w:tcW w:type="dxa" w:w="3120"/>
          </w:tcPr>
          <w:p>
            <w:r>
              <w:t>TOTAL</w:t>
            </w:r>
          </w:p>
        </w:tc>
        <w:tc>
          <w:tcPr>
            <w:tcW w:type="dxa" w:w="3120"/>
          </w:tcPr>
          <w:p>
            <w:r>
              <w:t>-</w:t>
            </w:r>
          </w:p>
        </w:tc>
        <w:tc>
          <w:tcPr>
            <w:tcW w:type="dxa" w:w="3120"/>
          </w:tcPr>
          <w:p>
            <w:r>
              <w:t>$1,050,000,000.00</w:t>
            </w:r>
          </w:p>
        </w:tc>
      </w:tr>
    </w:tbl>
    <w:p>
      <w:pPr>
        <w:pStyle w:val="Heading2"/>
      </w:pPr>
      <w:r>
        <w:t>4.2 Cronograma de Ejecución</w:t>
      </w:r>
    </w:p>
    <w:p>
      <w:r>
        <w:t>Hitos Principales:</w:t>
      </w:r>
    </w:p>
    <w:p>
      <w:pPr>
        <w:pStyle w:val="ListBullet"/>
      </w:pPr>
      <w:r>
        <w:t>Mes 1: Licitación</w:t>
      </w:r>
    </w:p>
    <w:p>
      <w:pPr>
        <w:pStyle w:val="ListBullet"/>
      </w:pPr>
      <w:r>
        <w:t>Mes 3: Instalación de Maquinaria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