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pPr>
      <w:r>
        <w:drawing>
          <wp:anchor behindDoc="0" distT="0" distB="0" distL="114935" distR="114935" simplePos="0" locked="0" layoutInCell="1" allowOverlap="1" relativeHeight="5">
            <wp:simplePos x="0" y="0"/>
            <wp:positionH relativeFrom="column">
              <wp:posOffset>-228600</wp:posOffset>
            </wp:positionH>
            <wp:positionV relativeFrom="paragraph">
              <wp:posOffset>-228600</wp:posOffset>
            </wp:positionV>
            <wp:extent cx="1714500" cy="125730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3" t="-21" r="-13" b="-21"/>
                    <a:stretch>
                      <a:fillRect/>
                    </a:stretch>
                  </pic:blipFill>
                  <pic:spPr bwMode="auto">
                    <a:xfrm>
                      <a:off x="0" y="0"/>
                      <a:ext cx="1714500" cy="1257300"/>
                    </a:xfrm>
                    <a:prstGeom prst="rect">
                      <a:avLst/>
                    </a:prstGeom>
                    <a:noFill/>
                  </pic:spPr>
                </pic:pic>
              </a:graphicData>
            </a:graphic>
          </wp:anchor>
        </w:drawing>
        <w:drawing>
          <wp:anchor behindDoc="0" distT="0" distB="0" distL="114935" distR="114935" simplePos="0" locked="0" layoutInCell="1" allowOverlap="1" relativeHeight="8">
            <wp:simplePos x="0" y="0"/>
            <wp:positionH relativeFrom="column">
              <wp:posOffset>1247775</wp:posOffset>
            </wp:positionH>
            <wp:positionV relativeFrom="paragraph">
              <wp:posOffset>114300</wp:posOffset>
            </wp:positionV>
            <wp:extent cx="114300" cy="114300"/>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15" t="-315" r="-315" b="-315"/>
                    <a:stretch>
                      <a:fillRect/>
                    </a:stretch>
                  </pic:blipFill>
                  <pic:spPr bwMode="auto">
                    <a:xfrm>
                      <a:off x="0" y="0"/>
                      <a:ext cx="114300" cy="114300"/>
                    </a:xfrm>
                    <a:prstGeom prst="rect">
                      <a:avLst/>
                    </a:prstGeom>
                    <a:noFill/>
                  </pic:spPr>
                </pic:pic>
              </a:graphicData>
            </a:graphic>
          </wp:anchor>
        </w:drawing>
      </w:r>
      <w:r>
        <w:rPr>
          <w:lang w:val="es-AR"/>
        </w:rPr>
        <w:tab/>
        <w:tab/>
        <w:tab/>
        <w:tab/>
      </w:r>
      <w:r>
        <w:rPr>
          <w:b/>
          <w:bCs/>
          <w:sz w:val="20"/>
          <w:szCs w:val="20"/>
          <w:lang w:val="fr-FR"/>
        </w:rPr>
        <w:t xml:space="preserve">            </w:t>
      </w:r>
      <w:r>
        <w:rPr>
          <w:rFonts w:cs="Arial" w:ascii="Arial" w:hAnsi="Arial"/>
          <w:b/>
          <w:bCs/>
          <w:sz w:val="20"/>
          <w:szCs w:val="20"/>
          <w:lang w:val="fr-FR"/>
        </w:rPr>
        <w:t xml:space="preserve">                                  </w:t>
      </w:r>
      <w:r>
        <w:rPr>
          <w:b/>
          <w:bCs/>
          <w:sz w:val="20"/>
          <w:szCs w:val="20"/>
          <w:lang w:val="fr-FR"/>
        </w:rPr>
        <w:t xml:space="preserve">                   S.C.   </w:t>
      </w:r>
      <w:r>
        <w:rPr>
          <w:b/>
          <w:bCs/>
          <w:iCs/>
          <w:color w:val="000000"/>
          <w:lang w:val="fr-FR"/>
        </w:rPr>
        <w:t>AGROTEX</w:t>
      </w:r>
      <w:r>
        <w:rPr>
          <w:b/>
          <w:bCs/>
          <w:i/>
          <w:iCs/>
          <w:sz w:val="20"/>
          <w:szCs w:val="20"/>
          <w:lang w:val="fr-FR"/>
        </w:rPr>
        <w:t xml:space="preserve">  </w:t>
      </w:r>
      <w:r>
        <w:rPr>
          <w:b/>
          <w:bCs/>
          <w:sz w:val="20"/>
          <w:szCs w:val="20"/>
          <w:lang w:val="fr-FR"/>
        </w:rPr>
        <w:t xml:space="preserve"> S.R.L.   </w:t>
      </w:r>
      <w:r>
        <w:rPr>
          <w:b/>
          <w:bCs/>
          <w:color w:val="000000"/>
          <w:sz w:val="20"/>
          <w:szCs w:val="20"/>
          <w:lang w:val="fr-FR"/>
        </w:rPr>
        <w:t xml:space="preserve">CAREI         </w:t>
      </w:r>
      <w:r>
        <mc:AlternateContent>
          <mc:Choice Requires="wps">
            <w:drawing>
              <wp:anchor behindDoc="0" distT="0" distB="0" distL="114935" distR="114935" simplePos="0" locked="0" layoutInCell="1" allowOverlap="1" relativeHeight="7">
                <wp:simplePos x="0" y="0"/>
                <wp:positionH relativeFrom="column">
                  <wp:posOffset>455930</wp:posOffset>
                </wp:positionH>
                <wp:positionV relativeFrom="paragraph">
                  <wp:posOffset>-193675</wp:posOffset>
                </wp:positionV>
                <wp:extent cx="99060" cy="210185"/>
                <wp:effectExtent l="0" t="0" r="0" b="0"/>
                <wp:wrapNone/>
                <wp:docPr id="3" name="Frame1"/>
                <a:graphic xmlns:a="http://schemas.openxmlformats.org/drawingml/2006/main">
                  <a:graphicData uri="http://schemas.microsoft.com/office/word/2010/wordprocessingShape">
                    <wps:wsp>
                      <wps:cNvSpPr txBox="1"/>
                      <wps:spPr>
                        <a:xfrm>
                          <a:off x="0" y="0"/>
                          <a:ext cx="99060" cy="210185"/>
                        </a:xfrm>
                        <a:prstGeom prst="rect"/>
                        <a:solidFill>
                          <a:srgbClr val="FFFFFF">
                            <a:alpha val="0"/>
                          </a:srgbClr>
                        </a:solidFill>
                      </wps:spPr>
                      <wps:txbx>
                        <w:txbxContent>
                          <w:p>
                            <w:pPr>
                              <w:pStyle w:val="Normal"/>
                              <w:rPr>
                                <w:color w:val="000000"/>
                              </w:rPr>
                            </w:pPr>
                            <w:r>
                              <w:rPr>
                                <w:color w:val="000000"/>
                              </w:rPr>
                              <w:t xml:space="preserve"> </w:t>
                            </w:r>
                          </w:p>
                        </w:txbxContent>
                      </wps:txbx>
                      <wps:bodyPr anchor="t" lIns="635" tIns="635" rIns="635" bIns="635">
                        <a:noAutofit/>
                      </wps:bodyPr>
                    </wps:wsp>
                  </a:graphicData>
                </a:graphic>
              </wp:anchor>
            </w:drawing>
          </mc:Choice>
          <mc:Fallback>
            <w:pict>
              <v:rect fillcolor="#FFFFFF" style="position:absolute;rotation:-0;width:7.8pt;height:16.55pt;mso-wrap-distance-left:9.05pt;mso-wrap-distance-right:9.05pt;mso-wrap-distance-top:0pt;mso-wrap-distance-bottom:0pt;margin-top:-15.25pt;mso-position-vertical-relative:text;margin-left:35.9pt;mso-position-horizontal-relative:text">
                <v:fill opacity="0f"/>
                <v:textbox inset="0.000694444444444445in,0.000694444444444445in,0.000694444444444445in,0.000694444444444445in">
                  <w:txbxContent>
                    <w:p>
                      <w:pPr>
                        <w:pStyle w:val="Normal"/>
                        <w:rPr>
                          <w:color w:val="000000"/>
                        </w:rPr>
                      </w:pPr>
                      <w:r>
                        <w:rPr>
                          <w:color w:val="000000"/>
                        </w:rPr>
                        <w:t xml:space="preserve"> </w:t>
                      </w:r>
                    </w:p>
                  </w:txbxContent>
                </v:textbox>
                <w10:wrap type="none"/>
              </v:rect>
            </w:pict>
          </mc:Fallback>
        </mc:AlternateContent>
      </w:r>
    </w:p>
    <w:p>
      <w:pPr>
        <w:pStyle w:val="Normal"/>
        <w:jc w:val="right"/>
        <w:rPr>
          <w:color w:val="000000"/>
          <w:sz w:val="20"/>
          <w:szCs w:val="20"/>
          <w:lang w:val="fr-FR"/>
        </w:rPr>
      </w:pPr>
      <w:r>
        <w:rPr>
          <w:color w:val="000000"/>
          <w:sz w:val="20"/>
          <w:szCs w:val="20"/>
          <w:lang w:val="fr-FR"/>
        </w:rPr>
        <w:t xml:space="preserve">         </w:t>
      </w:r>
      <w:r>
        <w:rPr>
          <w:color w:val="000000"/>
          <w:sz w:val="20"/>
          <w:szCs w:val="20"/>
          <w:lang w:val="fr-FR"/>
        </w:rPr>
        <w:t xml:space="preserve">Jud. Satu Mare, calea Armatei Române nr. 81/B    </w:t>
      </w:r>
    </w:p>
    <w:p>
      <w:pPr>
        <w:pStyle w:val="Normal"/>
        <w:jc w:val="right"/>
        <w:rPr/>
      </w:pPr>
      <w:r>
        <w:rPr>
          <w:color w:val="000000"/>
          <w:sz w:val="20"/>
          <w:szCs w:val="20"/>
          <w:lang w:val="fr-FR"/>
        </w:rPr>
        <w:t xml:space="preserve">               </w:t>
      </w:r>
      <w:r>
        <w:rPr>
          <w:color w:val="000000"/>
          <w:sz w:val="20"/>
          <w:szCs w:val="20"/>
          <w:lang w:val="fr-FR"/>
        </w:rPr>
        <w:t>Nr.  înregistrare   O.R.C.  J 30/</w:t>
      </w:r>
      <w:r>
        <w:rPr>
          <w:bCs/>
          <w:color w:val="000000"/>
          <w:sz w:val="20"/>
          <w:szCs w:val="20"/>
          <w:lang w:val="fr-FR"/>
        </w:rPr>
        <w:t>1481</w:t>
      </w:r>
      <w:r>
        <w:rPr>
          <w:color w:val="000000"/>
          <w:sz w:val="20"/>
          <w:szCs w:val="20"/>
          <w:lang w:val="fr-FR"/>
        </w:rPr>
        <w:t>/1992</w:t>
      </w:r>
      <w:r>
        <w:rPr>
          <w:b/>
          <w:bCs/>
          <w:color w:val="000000"/>
          <w:sz w:val="18"/>
          <w:lang w:val="es-AR"/>
        </w:rPr>
        <w:t xml:space="preserve">              </w:t>
      </w:r>
    </w:p>
    <w:p>
      <w:pPr>
        <w:pStyle w:val="Normal"/>
        <w:jc w:val="right"/>
        <w:rPr>
          <w:color w:val="000000"/>
          <w:sz w:val="20"/>
          <w:szCs w:val="20"/>
          <w:lang w:val="es-AR"/>
        </w:rPr>
      </w:pPr>
      <w:r>
        <w:rPr>
          <w:b/>
          <w:bCs/>
          <w:color w:val="000000"/>
          <w:sz w:val="20"/>
          <w:szCs w:val="20"/>
          <w:lang w:val="es-AR"/>
        </w:rPr>
        <w:t xml:space="preserve">                                   </w:t>
      </w:r>
      <w:r>
        <w:rPr>
          <w:color w:val="000000"/>
          <w:sz w:val="20"/>
          <w:szCs w:val="20"/>
          <w:lang w:val="es-AR"/>
        </w:rPr>
        <w:t xml:space="preserve">CIF  </w:t>
      </w:r>
      <w:r>
        <w:rPr>
          <w:bCs/>
          <w:color w:val="000000"/>
          <w:sz w:val="20"/>
          <w:szCs w:val="20"/>
          <w:lang w:val="es-AR"/>
        </w:rPr>
        <w:t>RO 2830353</w:t>
      </w:r>
      <w:r>
        <w:rPr>
          <w:color w:val="000000"/>
          <w:sz w:val="19"/>
          <w:szCs w:val="20"/>
          <w:lang w:val="es-AR"/>
        </w:rPr>
        <w:t xml:space="preserve">                                     </w:t>
      </w:r>
    </w:p>
    <w:p>
      <w:pPr>
        <w:pStyle w:val="Normal"/>
        <w:jc w:val="right"/>
        <w:rPr>
          <w:color w:val="000000"/>
          <w:sz w:val="20"/>
          <w:szCs w:val="20"/>
          <w:lang w:val="es-AR"/>
        </w:rPr>
      </w:pPr>
      <w:r>
        <w:rPr>
          <w:color w:val="000000"/>
          <w:sz w:val="20"/>
          <w:szCs w:val="20"/>
          <w:lang w:val="es-AR"/>
        </w:rPr>
        <w:t xml:space="preserve">                </w:t>
      </w:r>
      <w:r>
        <w:rPr>
          <w:color w:val="000000"/>
          <w:sz w:val="20"/>
          <w:szCs w:val="20"/>
          <w:lang w:val="es-AR"/>
        </w:rPr>
        <w:t xml:space="preserve">Tel/fax: 0261 861399 / 865386 / 864506                  </w:t>
      </w:r>
    </w:p>
    <w:p>
      <w:pPr>
        <w:pStyle w:val="Normal"/>
        <w:jc w:val="right"/>
        <w:rPr>
          <w:bCs/>
          <w:sz w:val="20"/>
          <w:lang w:val="es-AR"/>
        </w:rPr>
      </w:pPr>
      <w:r>
        <w:rPr>
          <w:bCs/>
          <w:color w:val="000000"/>
          <w:lang w:val="es-AR"/>
        </w:rPr>
        <w:t xml:space="preserve">           </w:t>
      </w:r>
      <w:hyperlink r:id="rId4">
        <w:r>
          <w:rPr>
            <w:rStyle w:val="Hyperlink"/>
            <w:bCs/>
            <w:color w:val="000000"/>
            <w:lang w:val="es-AR"/>
          </w:rPr>
          <w:t>www.agrotex.ro</w:t>
        </w:r>
      </w:hyperlink>
      <w:r>
        <w:rPr>
          <w:bCs/>
          <w:color w:val="000000"/>
          <w:lang w:val="es-AR"/>
        </w:rPr>
        <w:t xml:space="preserve"> </w:t>
      </w:r>
      <w:hyperlink r:id="rId5">
        <w:r>
          <w:rPr>
            <w:rStyle w:val="Hyperlink"/>
            <w:bCs/>
            <w:color w:val="000000"/>
            <w:sz w:val="22"/>
            <w:lang w:val="es-AR"/>
          </w:rPr>
          <w:t>secretariat@agrotex.ro</w:t>
        </w:r>
      </w:hyperlink>
      <w:r>
        <w:rPr>
          <w:bCs/>
          <w:color w:val="0000FF"/>
          <w:sz w:val="22"/>
          <w:lang w:val="es-AR"/>
        </w:rPr>
        <w:t xml:space="preserve">           </w:t>
      </w:r>
    </w:p>
    <w:p>
      <w:pPr>
        <w:pStyle w:val="Normal"/>
        <w:rPr>
          <w:bCs/>
          <w:sz w:val="20"/>
          <w:lang w:val="ro-RO"/>
        </w:rPr>
      </w:pPr>
      <w:r>
        <w:rPr>
          <w:bCs/>
          <w:sz w:val="20"/>
          <w:lang w:val="ro-RO"/>
        </w:rPr>
      </w:r>
    </w:p>
    <w:p>
      <w:pPr>
        <w:pStyle w:val="Normal"/>
        <w:rPr>
          <w:bCs/>
          <w:sz w:val="20"/>
          <w:lang w:val="es-AR" w:eastAsia="en-US"/>
        </w:rPr>
      </w:pPr>
      <w:r>
        <w:rPr>
          <w:bCs/>
          <w:sz w:val="20"/>
          <w:lang w:val="es-AR" w:eastAsia="en-US"/>
        </w:rPr>
        <mc:AlternateContent>
          <mc:Choice Requires="wps">
            <w:drawing>
              <wp:anchor behindDoc="0" distT="0" distB="0" distL="114935" distR="114935" simplePos="0" locked="0" layoutInCell="1" allowOverlap="1" relativeHeight="6">
                <wp:simplePos x="0" y="0"/>
                <wp:positionH relativeFrom="column">
                  <wp:posOffset>9525</wp:posOffset>
                </wp:positionH>
                <wp:positionV relativeFrom="paragraph">
                  <wp:posOffset>55880</wp:posOffset>
                </wp:positionV>
                <wp:extent cx="6172200" cy="0"/>
                <wp:effectExtent l="0" t="19050" r="0" b="19050"/>
                <wp:wrapNone/>
                <wp:docPr id="4" name=""/>
                <a:graphic xmlns:a="http://schemas.openxmlformats.org/drawingml/2006/main">
                  <a:graphicData uri="http://schemas.microsoft.com/office/word/2010/wordprocessingShape">
                    <wps:wsp>
                      <wps:cNvSpPr/>
                      <wps:spPr>
                        <a:xfrm>
                          <a:off x="0" y="0"/>
                          <a:ext cx="6172200" cy="0"/>
                        </a:xfrm>
                        <a:prstGeom prst="line">
                          <a:avLst/>
                        </a:prstGeom>
                        <a:ln w="38160">
                          <a:solidFill>
                            <a:srgbClr val="000000"/>
                          </a:solidFill>
                          <a:miter/>
                        </a:ln>
                      </wps:spPr>
                      <wps:style>
                        <a:lnRef idx="0"/>
                        <a:fillRef idx="0"/>
                        <a:effectRef idx="0"/>
                        <a:fontRef idx="minor"/>
                      </wps:style>
                      <wps:bodyPr/>
                    </wps:wsp>
                  </a:graphicData>
                </a:graphic>
              </wp:anchor>
            </w:drawing>
          </mc:Choice>
          <mc:Fallback>
            <w:pict>
              <v:line id="shape_0" from="0.75pt,4.4pt" to="486.7pt,4.4pt" stroked="t" o:allowincell="f" style="position:absolute">
                <v:stroke color="black" weight="38160" joinstyle="miter" endcap="flat"/>
                <v:fill o:detectmouseclick="t" on="false"/>
                <w10:wrap type="none"/>
              </v:line>
            </w:pict>
          </mc:Fallback>
        </mc:AlternateContent>
      </w:r>
    </w:p>
    <w:p>
      <w:pPr>
        <w:pStyle w:val="Normal"/>
        <w:jc w:val="center"/>
        <w:rPr>
          <w:b/>
          <w:bCs/>
          <w:u w:val="single"/>
          <w:lang w:val="es-AR" w:bidi="zxx"/>
        </w:rPr>
      </w:pPr>
      <w:r>
        <w:rPr>
          <w:b/>
          <w:bCs/>
          <w:u w:val="single"/>
          <w:lang w:val="es-AR" w:bidi="zxx"/>
        </w:rPr>
      </w:r>
    </w:p>
    <w:p>
      <w:pPr>
        <w:pStyle w:val="Heading1"/>
        <w:ind w:hanging="0" w:left="0"/>
        <w:jc w:val="center"/>
        <w:rPr>
          <w:rFonts w:cs="Times New Roman"/>
          <w:sz w:val="20"/>
          <w:szCs w:val="20"/>
          <w:u w:val="single"/>
        </w:rPr>
      </w:pPr>
      <w:r>
        <w:rPr>
          <w:rFonts w:cs="Times New Roman"/>
          <w:sz w:val="20"/>
          <w:szCs w:val="20"/>
          <w:u w:val="single"/>
        </w:rPr>
        <w:t>CONTRACT  DE  VÂNZARE – CUMPĂRARE</w:t>
      </w:r>
    </w:p>
    <w:p>
      <w:pPr>
        <w:pStyle w:val="Normal"/>
        <w:rPr>
          <w:lang w:val="ro-RO" w:eastAsia="zxx"/>
        </w:rPr>
      </w:pPr>
      <w:r>
        <w:rPr>
          <w:lang w:val="ro-RO" w:eastAsia="zxx"/>
        </w:rPr>
        <w:tab/>
        <w:tab/>
        <w:tab/>
        <w:tab/>
        <w:tab/>
        <w:t xml:space="preserve">     Nr. __________</w:t>
      </w:r>
    </w:p>
    <w:p>
      <w:pPr>
        <w:pStyle w:val="Heading1"/>
        <w:ind w:hanging="0" w:left="0"/>
        <w:rPr>
          <w:rFonts w:eastAsia="Times New Roman" w:cs="Times New Roman"/>
          <w:b w:val="false"/>
          <w:bCs w:val="false"/>
          <w:sz w:val="20"/>
          <w:szCs w:val="20"/>
        </w:rPr>
      </w:pPr>
      <w:r>
        <w:rPr>
          <w:rFonts w:eastAsia="Times New Roman" w:cs="Times New Roman"/>
          <w:b w:val="false"/>
          <w:bCs w:val="false"/>
          <w:sz w:val="20"/>
          <w:szCs w:val="20"/>
        </w:rPr>
        <w:t xml:space="preserve">                                                                       </w:t>
      </w:r>
    </w:p>
    <w:p>
      <w:pPr>
        <w:pStyle w:val="Heading1"/>
        <w:ind w:firstLine="708" w:left="0" w:right="0"/>
        <w:rPr>
          <w:rFonts w:cs="Times New Roman"/>
          <w:sz w:val="20"/>
          <w:szCs w:val="20"/>
        </w:rPr>
      </w:pPr>
      <w:r>
        <w:rPr>
          <w:rFonts w:cs="Times New Roman"/>
          <w:sz w:val="20"/>
          <w:szCs w:val="20"/>
        </w:rPr>
        <w:t>Art.1   PĂRŢILE CONTRACTANTE</w:t>
      </w:r>
    </w:p>
    <w:p>
      <w:pPr>
        <w:pStyle w:val="Heading1"/>
        <w:ind w:firstLine="708" w:left="0" w:right="0"/>
        <w:rPr>
          <w:rFonts w:cs="Times New Roman"/>
          <w:b w:val="false"/>
          <w:bCs w:val="false"/>
          <w:sz w:val="22"/>
          <w:szCs w:val="22"/>
        </w:rPr>
      </w:pPr>
      <w:r>
        <w:rPr>
          <w:rFonts w:cs="Times New Roman"/>
          <w:b w:val="false"/>
          <w:bCs w:val="false"/>
          <w:sz w:val="22"/>
          <w:szCs w:val="22"/>
        </w:rPr>
        <w:t xml:space="preserve">S.C. </w:t>
      </w:r>
      <w:r>
        <w:rPr>
          <w:rFonts w:cs="Times New Roman"/>
          <w:sz w:val="22"/>
          <w:szCs w:val="22"/>
        </w:rPr>
        <w:t>AGROTEX</w:t>
      </w:r>
      <w:r>
        <w:rPr>
          <w:rFonts w:cs="Times New Roman"/>
          <w:b w:val="false"/>
          <w:bCs w:val="false"/>
          <w:sz w:val="22"/>
          <w:szCs w:val="22"/>
        </w:rPr>
        <w:t xml:space="preserve"> S.R.L. cu sediul în Carei, jud. Satu Mare, C-lea Armatei Române nr.81/B, înmatriculată sub nr. J30/1481/92 la Reg. C.C.I. Satu Mare, CIF RO2830353, tel./fax. 061861399/865386, avand contul IBAN RO59 BACX 0000 0004 7704 7001 deschis la Unicredit Tiriac Bank S.A. suc. Satu Mare , reprezentată prin ing. Adrian Mircea Lăţa director general în calitate de </w:t>
      </w:r>
      <w:r>
        <w:rPr>
          <w:rFonts w:cs="Times New Roman"/>
          <w:sz w:val="22"/>
          <w:szCs w:val="22"/>
        </w:rPr>
        <w:t xml:space="preserve">CUMPĂRĂTOR </w:t>
      </w:r>
    </w:p>
    <w:p>
      <w:pPr>
        <w:pStyle w:val="Heading1"/>
        <w:ind w:firstLine="708" w:left="0" w:right="0"/>
        <w:rPr>
          <w:rFonts w:cs="Times New Roman"/>
          <w:b w:val="false"/>
          <w:bCs w:val="false"/>
          <w:sz w:val="22"/>
          <w:szCs w:val="22"/>
        </w:rPr>
      </w:pPr>
      <w:r>
        <w:rPr>
          <w:rFonts w:cs="Times New Roman"/>
          <w:b w:val="false"/>
          <w:bCs w:val="false"/>
          <w:sz w:val="22"/>
          <w:szCs w:val="22"/>
        </w:rPr>
        <w:t>Si</w:t>
      </w:r>
    </w:p>
    <w:p>
      <w:pPr>
        <w:pStyle w:val="Normal"/>
        <w:ind w:firstLine="708" w:right="0"/>
        <w:rPr>
          <w:lang w:val="ro-RO" w:eastAsia="zxx"/>
        </w:rPr>
      </w:pPr>
      <w:r>
        <w:rPr>
          <w:sz w:val="22"/>
          <w:szCs w:val="22"/>
          <w:lang w:val="ro-RO"/>
        </w:rPr>
        <w:t xml:space="preserve">_________________ </w:t>
      </w:r>
      <w:r>
        <w:rPr>
          <w:rFonts w:cs="Arial" w:ascii="Arial" w:hAnsi="Arial"/>
          <w:sz w:val="20"/>
          <w:lang w:val="ro-RO"/>
        </w:rPr>
        <w:t>cu sediul în _____________,  jud.___________, înmatriculata sub nr. ________________înregistrata la  Reg. C.C.I. _______, CIF _________-____  tel.     , având codul IBAN____________________ deschis la __________________ , reprezentată prin   ____________   , în calitate de VANZATOR</w:t>
      </w:r>
    </w:p>
    <w:p>
      <w:pPr>
        <w:pStyle w:val="Heading1"/>
        <w:ind w:firstLine="708" w:left="0" w:right="0"/>
        <w:rPr>
          <w:rFonts w:cs="Times New Roman"/>
          <w:sz w:val="20"/>
          <w:szCs w:val="20"/>
          <w:lang w:val="ro-RO" w:eastAsia="zxx"/>
        </w:rPr>
      </w:pPr>
      <w:r>
        <w:rPr>
          <w:rFonts w:cs="Times New Roman"/>
          <w:sz w:val="20"/>
          <w:szCs w:val="20"/>
          <w:lang w:val="ro-RO" w:eastAsia="zxx"/>
        </w:rPr>
      </w:r>
    </w:p>
    <w:p>
      <w:pPr>
        <w:pStyle w:val="Heading1"/>
        <w:ind w:firstLine="708" w:left="0" w:right="0"/>
        <w:rPr>
          <w:rFonts w:cs="Times New Roman"/>
          <w:sz w:val="20"/>
          <w:szCs w:val="20"/>
        </w:rPr>
      </w:pPr>
      <w:r>
        <w:rPr>
          <w:rFonts w:cs="Times New Roman"/>
          <w:sz w:val="20"/>
          <w:szCs w:val="20"/>
        </w:rPr>
        <w:t>Art.2  OBIECTUL ŞI SCOPUL CONTRACTULUI</w:t>
      </w:r>
    </w:p>
    <w:p>
      <w:pPr>
        <w:pStyle w:val="Normal"/>
        <w:rPr/>
      </w:pPr>
      <w:r>
        <w:rPr>
          <w:rFonts w:eastAsia="HG Mincho Light J"/>
          <w:color w:val="000000"/>
          <w:sz w:val="20"/>
          <w:szCs w:val="20"/>
          <w:lang w:eastAsia="en-US" w:bidi="en-US"/>
        </w:rPr>
        <w:tab/>
        <w:t xml:space="preserve">Prin prezentul act, vanzatorul se obliga sa vanda - </w:t>
      </w:r>
      <w:r>
        <w:rPr>
          <w:rFonts w:eastAsia="HG Mincho Light J"/>
          <w:b/>
          <w:bCs/>
          <w:color w:val="000000"/>
          <w:sz w:val="20"/>
          <w:szCs w:val="20"/>
          <w:lang w:eastAsia="en-US" w:bidi="en-US"/>
        </w:rPr>
        <w:t>soia boabe-</w:t>
      </w:r>
      <w:r>
        <w:rPr>
          <w:rFonts w:eastAsia="HG Mincho Light J"/>
          <w:color w:val="000000"/>
          <w:sz w:val="20"/>
          <w:szCs w:val="20"/>
          <w:lang w:eastAsia="en-US" w:bidi="en-US"/>
        </w:rPr>
        <w:t xml:space="preserve"> din productia anului 2026, iar cumparatorul se obliga sa plateasca pretul marfii si sa preia marfa la data si in conditiile stabilite.   </w:t>
      </w:r>
    </w:p>
    <w:p>
      <w:pPr>
        <w:pStyle w:val="Normal"/>
        <w:rPr>
          <w:sz w:val="20"/>
          <w:szCs w:val="20"/>
          <w:lang w:val="ro-RO"/>
        </w:rPr>
      </w:pPr>
      <w:r>
        <w:rPr>
          <w:rFonts w:eastAsia="Times New Roman"/>
          <w:color w:val="000000"/>
          <w:sz w:val="20"/>
          <w:szCs w:val="20"/>
          <w:lang w:eastAsia="en-US" w:bidi="en-US"/>
        </w:rPr>
        <w:t xml:space="preserve">         </w:t>
      </w:r>
    </w:p>
    <w:p>
      <w:pPr>
        <w:pStyle w:val="Normal"/>
        <w:rPr/>
      </w:pPr>
      <w:r>
        <w:rPr>
          <w:sz w:val="20"/>
          <w:szCs w:val="20"/>
        </w:rPr>
        <w:tab/>
      </w:r>
      <w:r>
        <w:rPr>
          <w:b/>
          <w:bCs/>
          <w:sz w:val="20"/>
          <w:szCs w:val="20"/>
          <w:lang w:val="es-AR"/>
        </w:rPr>
        <w:t>Art. 3  CANTITATEA</w:t>
      </w:r>
    </w:p>
    <w:p>
      <w:pPr>
        <w:pStyle w:val="BodyTextIndent"/>
        <w:ind w:hanging="0" w:right="0"/>
        <w:rPr/>
      </w:pPr>
      <w:r>
        <w:rPr>
          <w:rFonts w:eastAsia="Times New Roman" w:cs="Times New Roman"/>
          <w:sz w:val="20"/>
          <w:szCs w:val="20"/>
        </w:rPr>
        <w:t xml:space="preserve">            </w:t>
      </w:r>
      <w:r>
        <w:rPr>
          <w:rFonts w:cs="Times New Roman"/>
          <w:sz w:val="20"/>
          <w:szCs w:val="20"/>
        </w:rPr>
        <w:t xml:space="preserve">Vanzatorul  vinde Cumparatorului  </w:t>
      </w:r>
      <w:r>
        <w:rPr>
          <w:rFonts w:eastAsia="HG Mincho Light J" w:cs="Times New Roman"/>
          <w:color w:val="000000"/>
          <w:sz w:val="20"/>
          <w:szCs w:val="20"/>
          <w:lang w:val="es-AR" w:eastAsia="en-US" w:bidi="en-US"/>
        </w:rPr>
        <w:t xml:space="preserve">cantitatea de ____ to </w:t>
      </w:r>
      <w:r>
        <w:rPr>
          <w:rFonts w:eastAsia="HG Mincho Light J" w:cs="Times New Roman"/>
          <w:b/>
          <w:bCs/>
          <w:color w:val="000000"/>
          <w:sz w:val="20"/>
          <w:szCs w:val="20"/>
          <w:lang w:val="es-AR" w:eastAsia="en-US" w:bidi="en-US"/>
        </w:rPr>
        <w:t xml:space="preserve"> soia</w:t>
      </w:r>
      <w:r>
        <w:rPr>
          <w:rFonts w:eastAsia="HG Mincho Light J" w:cs="Times New Roman"/>
          <w:color w:val="000000"/>
          <w:sz w:val="20"/>
          <w:szCs w:val="20"/>
          <w:lang w:val="es-AR" w:eastAsia="en-US" w:bidi="en-US"/>
        </w:rPr>
        <w:t xml:space="preserve">, </w:t>
      </w:r>
      <w:r>
        <w:rPr>
          <w:rFonts w:cs="Times New Roman"/>
          <w:sz w:val="20"/>
          <w:szCs w:val="20"/>
        </w:rPr>
        <w:t>plus sau minus 10%, la opţiunea cumparatorului. Cantitatea va fi finală la livrarea în silozul dispus de cumparator.</w:t>
      </w:r>
    </w:p>
    <w:p>
      <w:pPr>
        <w:pStyle w:val="Textbody"/>
        <w:spacing w:before="0" w:after="0"/>
        <w:rPr>
          <w:rFonts w:cs="Times New Roman"/>
          <w:b/>
          <w:bCs/>
          <w:sz w:val="20"/>
          <w:szCs w:val="20"/>
          <w:lang w:val="ro-RO"/>
        </w:rPr>
      </w:pPr>
      <w:r>
        <w:rPr>
          <w:rFonts w:cs="Times New Roman"/>
          <w:b/>
          <w:bCs/>
          <w:sz w:val="20"/>
          <w:szCs w:val="20"/>
          <w:lang w:val="ro-RO"/>
        </w:rPr>
      </w:r>
    </w:p>
    <w:p>
      <w:pPr>
        <w:pStyle w:val="Standard"/>
        <w:tabs>
          <w:tab w:val="clear" w:pos="720"/>
          <w:tab w:val="center" w:pos="4320" w:leader="none"/>
          <w:tab w:val="right" w:pos="8640" w:leader="none"/>
        </w:tabs>
        <w:rPr/>
      </w:pPr>
      <w:r>
        <w:rPr>
          <w:rFonts w:eastAsia="Times New Roman" w:cs="Times New Roman"/>
          <w:b/>
          <w:bCs/>
          <w:sz w:val="20"/>
          <w:szCs w:val="20"/>
          <w:lang w:val="es-AR"/>
        </w:rPr>
        <w:t xml:space="preserve">           </w:t>
      </w:r>
      <w:r>
        <w:rPr>
          <w:rFonts w:cs="Times New Roman"/>
          <w:b/>
          <w:bCs/>
          <w:sz w:val="20"/>
          <w:szCs w:val="20"/>
          <w:lang w:val="es-AR"/>
        </w:rPr>
        <w:t>Art. 4  CALITATE ŞI CONDIŢII</w:t>
      </w:r>
      <w:r>
        <w:rPr>
          <w:rFonts w:eastAsia="HG Mincho Light J" w:cs="Times New Roman"/>
          <w:color w:val="000000"/>
          <w:sz w:val="20"/>
          <w:szCs w:val="20"/>
          <w:lang w:val="es-AR"/>
        </w:rPr>
        <w:t xml:space="preserve"> </w:t>
      </w:r>
    </w:p>
    <w:p>
      <w:pPr>
        <w:pStyle w:val="Standard"/>
        <w:tabs>
          <w:tab w:val="clear" w:pos="720"/>
          <w:tab w:val="center" w:pos="4320" w:leader="none"/>
          <w:tab w:val="right" w:pos="8640" w:leader="none"/>
        </w:tabs>
        <w:rPr>
          <w:rFonts w:cs="Times New Roman"/>
          <w:color w:val="000000"/>
          <w:sz w:val="20"/>
          <w:szCs w:val="20"/>
          <w:lang w:val="es-AR"/>
        </w:rPr>
      </w:pPr>
      <w:r>
        <w:rPr>
          <w:rFonts w:eastAsia="HG Mincho Light J" w:cs="Times New Roman"/>
          <w:color w:val="000000"/>
          <w:sz w:val="20"/>
          <w:szCs w:val="20"/>
          <w:lang w:val="es-AR"/>
        </w:rPr>
        <w:tab/>
        <w:t xml:space="preserve">          Indicii de calitate pentru plata marfii  sunt cei prevazuti de STAS si anume: umiditate  13%, corpuri straine 2%, in conformitate cu buletinul de analiza emis la receptie. In cazul in care </w:t>
      </w:r>
      <w:r>
        <w:rPr>
          <w:rFonts w:cs="Times New Roman"/>
          <w:color w:val="000000"/>
          <w:sz w:val="20"/>
          <w:szCs w:val="20"/>
          <w:lang w:val="es-AR"/>
        </w:rPr>
        <w:t>calitatea marfii este sub STAS  nu se bonifica, iar daca calitatea marfii este peste STAS se  vor percepe costuri pentru uscare si conditionare, tarife care vor fi stabilite la data preluarii marfii.</w:t>
      </w:r>
    </w:p>
    <w:p>
      <w:pPr>
        <w:pStyle w:val="Standard"/>
        <w:tabs>
          <w:tab w:val="clear" w:pos="720"/>
          <w:tab w:val="center" w:pos="4320" w:leader="none"/>
          <w:tab w:val="right" w:pos="8640" w:leader="none"/>
        </w:tabs>
        <w:rPr>
          <w:rFonts w:cs="Times New Roman"/>
          <w:color w:val="000000"/>
          <w:sz w:val="20"/>
          <w:szCs w:val="20"/>
          <w:lang w:val="es-AR"/>
        </w:rPr>
      </w:pPr>
      <w:r>
        <w:rPr>
          <w:rFonts w:cs="Times New Roman"/>
          <w:color w:val="000000"/>
          <w:sz w:val="20"/>
          <w:szCs w:val="20"/>
          <w:lang w:val="es-AR"/>
        </w:rPr>
        <w:tab/>
        <w:t xml:space="preserve">           </w:t>
      </w:r>
      <w:r>
        <w:rPr>
          <w:rFonts w:cs="Times New Roman"/>
          <w:color w:val="000000"/>
          <w:kern w:val="2"/>
          <w:sz w:val="20"/>
          <w:szCs w:val="20"/>
          <w:lang w:val="es-AR" w:eastAsia="en-GB"/>
        </w:rPr>
        <w:t>Marfa va fi conform parametrilor de calitate stipulaţi în prezentul Contract, cu următorii indici de calitate:</w:t>
      </w:r>
    </w:p>
    <w:tbl>
      <w:tblPr>
        <w:tblW w:w="10065" w:type="dxa"/>
        <w:jc w:val="left"/>
        <w:tblInd w:w="15" w:type="dxa"/>
        <w:tblLayout w:type="fixed"/>
        <w:tblCellMar>
          <w:top w:w="0" w:type="dxa"/>
          <w:left w:w="15" w:type="dxa"/>
          <w:bottom w:w="0" w:type="dxa"/>
          <w:right w:w="15" w:type="dxa"/>
        </w:tblCellMar>
      </w:tblPr>
      <w:tblGrid>
        <w:gridCol w:w="630"/>
        <w:gridCol w:w="3906"/>
        <w:gridCol w:w="5529"/>
      </w:tblGrid>
      <w:tr>
        <w:trPr>
          <w:trHeight w:val="284" w:hRule="exact"/>
        </w:trPr>
        <w:tc>
          <w:tcPr>
            <w:tcW w:w="630" w:type="dxa"/>
            <w:vMerge w:val="restart"/>
            <w:tcBorders/>
          </w:tcPr>
          <w:p>
            <w:pPr>
              <w:pStyle w:val="Normal"/>
              <w:widowControl w:val="false"/>
              <w:autoSpaceDE w:val="false"/>
              <w:snapToGrid w:val="false"/>
              <w:rPr>
                <w:color w:val="000000"/>
                <w:sz w:val="20"/>
                <w:szCs w:val="20"/>
                <w:lang w:val="es-AR" w:eastAsia="en-GB"/>
              </w:rPr>
            </w:pPr>
            <w:r>
              <w:rPr>
                <w:color w:val="000000"/>
                <w:sz w:val="20"/>
                <w:szCs w:val="20"/>
                <w:lang w:val="es-AR"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Boabe arse</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max.0,5%</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Boabe defecte</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max.4%</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Boabe sparte</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max.10%</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Celuloza</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max.6%</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Cenusa</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max.5%</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 xml:space="preserve"> </w:t>
            </w:r>
            <w:r>
              <w:rPr>
                <w:color w:val="000000"/>
                <w:sz w:val="20"/>
                <w:szCs w:val="20"/>
                <w:lang w:val="en-GB" w:eastAsia="en-GB"/>
              </w:rPr>
              <w:t>Conţinut de ulei</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min. 18 %,</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 xml:space="preserve"> </w:t>
            </w:r>
            <w:r>
              <w:rPr>
                <w:color w:val="000000"/>
                <w:sz w:val="20"/>
                <w:szCs w:val="20"/>
                <w:lang w:val="en-GB" w:eastAsia="en-GB"/>
              </w:rPr>
              <w:t>Corpuri străine</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pPr>
            <w:r>
              <w:rPr>
                <w:color w:val="000000"/>
                <w:sz w:val="20"/>
                <w:szCs w:val="20"/>
                <w:lang w:val="en-GB" w:eastAsia="en-GB"/>
              </w:rPr>
              <w:t>max.2%</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 xml:space="preserve"> </w:t>
            </w:r>
            <w:r>
              <w:rPr>
                <w:color w:val="000000"/>
                <w:sz w:val="20"/>
                <w:szCs w:val="20"/>
                <w:lang w:val="en-GB" w:eastAsia="en-GB"/>
              </w:rPr>
              <w:t>GMO</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 xml:space="preserve">NON GMO </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 xml:space="preserve"> </w:t>
            </w:r>
            <w:r>
              <w:rPr>
                <w:color w:val="000000"/>
                <w:sz w:val="20"/>
                <w:szCs w:val="20"/>
                <w:lang w:val="en-GB" w:eastAsia="en-GB"/>
              </w:rPr>
              <w:t>Proteina</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min.33%</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 xml:space="preserve"> </w:t>
            </w:r>
            <w:r>
              <w:rPr>
                <w:color w:val="000000"/>
                <w:sz w:val="20"/>
                <w:szCs w:val="20"/>
                <w:lang w:val="en-GB" w:eastAsia="en-GB"/>
              </w:rPr>
              <w:t>Sustenabilitate:</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color w:val="000000"/>
                <w:sz w:val="20"/>
                <w:szCs w:val="20"/>
                <w:lang w:val="en-GB" w:eastAsia="en-GB"/>
              </w:rPr>
            </w:pPr>
            <w:r>
              <w:rPr>
                <w:color w:val="000000"/>
                <w:sz w:val="20"/>
                <w:szCs w:val="20"/>
                <w:lang w:val="en-GB" w:eastAsia="en-GB"/>
              </w:rPr>
              <w:t>ISCC - EU</w:t>
            </w:r>
          </w:p>
        </w:tc>
      </w:tr>
      <w:tr>
        <w:trPr>
          <w:trHeight w:val="284" w:hRule="exact"/>
        </w:trPr>
        <w:tc>
          <w:tcPr>
            <w:tcW w:w="630" w:type="dxa"/>
            <w:vMerge w:val="continue"/>
            <w:tcBorders/>
          </w:tcPr>
          <w:p>
            <w:pPr>
              <w:pStyle w:val="Normal"/>
              <w:widowControl w:val="false"/>
              <w:autoSpaceDE w:val="false"/>
              <w:snapToGrid w:val="false"/>
              <w:rPr>
                <w:color w:val="000000"/>
                <w:sz w:val="20"/>
                <w:szCs w:val="20"/>
                <w:lang w:val="en-GB" w:eastAsia="en-GB"/>
              </w:rPr>
            </w:pPr>
            <w:r>
              <w:rPr>
                <w:color w:val="000000"/>
                <w:sz w:val="20"/>
                <w:szCs w:val="20"/>
                <w:lang w:val="en-GB" w:eastAsia="en-GB"/>
              </w:rPr>
            </w:r>
          </w:p>
        </w:tc>
        <w:tc>
          <w:tcPr>
            <w:tcW w:w="3906"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rPr>
                <w:color w:val="000000"/>
                <w:sz w:val="20"/>
                <w:szCs w:val="20"/>
                <w:lang w:val="en-GB" w:eastAsia="en-GB"/>
              </w:rPr>
            </w:pPr>
            <w:r>
              <w:rPr>
                <w:color w:val="000000"/>
                <w:sz w:val="20"/>
                <w:szCs w:val="20"/>
                <w:lang w:val="en-GB" w:eastAsia="en-GB"/>
              </w:rPr>
              <w:t xml:space="preserve"> </w:t>
            </w:r>
            <w:r>
              <w:rPr>
                <w:color w:val="000000"/>
                <w:sz w:val="20"/>
                <w:szCs w:val="20"/>
                <w:lang w:val="en-GB" w:eastAsia="en-GB"/>
              </w:rPr>
              <w:t>Umiditate:</w:t>
            </w:r>
          </w:p>
        </w:tc>
        <w:tc>
          <w:tcPr>
            <w:tcW w:w="5529" w:type="dxa"/>
            <w:tcBorders>
              <w:top w:val="single" w:sz="8" w:space="0" w:color="000000"/>
              <w:left w:val="single" w:sz="8" w:space="0" w:color="000000"/>
              <w:bottom w:val="single" w:sz="8" w:space="0" w:color="000000"/>
              <w:right w:val="single" w:sz="8" w:space="0" w:color="000000"/>
            </w:tcBorders>
          </w:tcPr>
          <w:p>
            <w:pPr>
              <w:pStyle w:val="Normal"/>
              <w:widowControl w:val="false"/>
              <w:autoSpaceDE w:val="false"/>
              <w:spacing w:lineRule="exact" w:line="226" w:before="30" w:after="0"/>
              <w:ind w:left="16" w:right="0"/>
              <w:jc w:val="center"/>
              <w:rPr/>
            </w:pPr>
            <w:r>
              <w:rPr>
                <w:color w:val="FF0000"/>
                <w:sz w:val="20"/>
                <w:szCs w:val="20"/>
                <w:lang w:val="en-GB" w:eastAsia="en-GB"/>
              </w:rPr>
              <w:t>max.13 %</w:t>
            </w:r>
          </w:p>
        </w:tc>
      </w:tr>
      <w:tr>
        <w:trPr>
          <w:trHeight w:val="341" w:hRule="exact"/>
        </w:trPr>
        <w:tc>
          <w:tcPr>
            <w:tcW w:w="630" w:type="dxa"/>
            <w:vMerge w:val="continue"/>
            <w:tcBorders/>
          </w:tcPr>
          <w:p>
            <w:pPr>
              <w:pStyle w:val="Normal"/>
              <w:widowControl w:val="false"/>
              <w:autoSpaceDE w:val="false"/>
              <w:snapToGrid w:val="false"/>
              <w:rPr>
                <w:color w:val="FF0000"/>
                <w:sz w:val="20"/>
                <w:szCs w:val="20"/>
                <w:lang w:val="en-GB" w:eastAsia="en-GB"/>
              </w:rPr>
            </w:pPr>
            <w:r>
              <w:rPr>
                <w:color w:val="FF0000"/>
                <w:sz w:val="20"/>
                <w:szCs w:val="20"/>
                <w:lang w:val="en-GB" w:eastAsia="en-GB"/>
              </w:rPr>
            </w:r>
          </w:p>
        </w:tc>
        <w:tc>
          <w:tcPr>
            <w:tcW w:w="9435" w:type="dxa"/>
            <w:gridSpan w:val="2"/>
            <w:tcBorders/>
          </w:tcPr>
          <w:p>
            <w:pPr>
              <w:pStyle w:val="Normal"/>
              <w:widowControl w:val="false"/>
              <w:autoSpaceDE w:val="false"/>
              <w:snapToGrid w:val="false"/>
              <w:spacing w:lineRule="exact" w:line="226" w:before="30" w:after="0"/>
              <w:ind w:left="16" w:right="0"/>
              <w:rPr>
                <w:color w:val="000000"/>
                <w:lang w:val="en-GB" w:eastAsia="en-GB"/>
              </w:rPr>
            </w:pPr>
            <w:r>
              <w:rPr>
                <w:color w:val="000000"/>
                <w:lang w:val="en-GB" w:eastAsia="en-GB"/>
              </w:rPr>
            </w:r>
          </w:p>
        </w:tc>
      </w:tr>
    </w:tbl>
    <w:p>
      <w:pPr>
        <w:pStyle w:val="Standard"/>
        <w:tabs>
          <w:tab w:val="clear" w:pos="720"/>
          <w:tab w:val="center" w:pos="4320" w:leader="none"/>
          <w:tab w:val="right" w:pos="8640" w:leader="none"/>
        </w:tabs>
        <w:rPr>
          <w:rFonts w:cs="Times New Roman"/>
          <w:b/>
          <w:bCs/>
          <w:color w:val="FF0000"/>
          <w:sz w:val="22"/>
          <w:szCs w:val="22"/>
          <w:lang w:val="es-AR"/>
        </w:rPr>
      </w:pPr>
      <w:r>
        <w:rPr>
          <w:rFonts w:eastAsia="Times New Roman" w:cs="Times New Roman"/>
          <w:color w:val="000000"/>
          <w:sz w:val="22"/>
          <w:szCs w:val="22"/>
          <w:lang w:val="es-AR"/>
        </w:rPr>
        <w:t xml:space="preserve">            </w:t>
      </w:r>
      <w:r>
        <w:rPr>
          <w:rFonts w:eastAsia="HG Mincho Light J" w:cs="Times New Roman"/>
          <w:color w:val="000000"/>
          <w:sz w:val="22"/>
          <w:szCs w:val="22"/>
          <w:lang w:val="es-AR"/>
        </w:rPr>
        <w:t xml:space="preserve">In cazul in care </w:t>
      </w:r>
      <w:r>
        <w:rPr>
          <w:rFonts w:cs="Times New Roman"/>
          <w:color w:val="000000"/>
          <w:sz w:val="22"/>
          <w:szCs w:val="22"/>
          <w:lang w:val="es-AR"/>
        </w:rPr>
        <w:t>calitatea marfii este sub STAS  nu se bonifica, iar daca calitatea marfii este peste STAS se  vor percepe costuri pentru uscare si conditionare, tarife care vor fi stabilite la data preluarii marfii.</w:t>
      </w:r>
    </w:p>
    <w:p>
      <w:pPr>
        <w:pStyle w:val="BodyTextIndent"/>
        <w:jc w:val="both"/>
        <w:rPr/>
      </w:pPr>
      <w:r>
        <w:rPr>
          <w:rFonts w:cs="Times New Roman"/>
          <w:sz w:val="22"/>
          <w:szCs w:val="22"/>
        </w:rPr>
        <w:t>Marfa contractată de către vanzator va fi sănătoasă, de calitate comercializabilă, aptă de măcinare şi liberă de mirosuri străine. Marfa trebuie sa indeplineasca conditiile prevazute de legislatia nationala si europeana referitoare la produsele de uz fitosanitar, contaminanti si ingrasaminte, pentru consumul uman si/sau furajer.</w:t>
      </w:r>
    </w:p>
    <w:p>
      <w:pPr>
        <w:pStyle w:val="BodyTextIndent"/>
        <w:jc w:val="both"/>
        <w:rPr>
          <w:kern w:val="2"/>
          <w:sz w:val="22"/>
          <w:szCs w:val="22"/>
          <w:lang w:eastAsia="zh-CN"/>
        </w:rPr>
      </w:pPr>
      <w:r>
        <w:rPr>
          <w:rFonts w:cs="Times New Roman"/>
          <w:sz w:val="22"/>
          <w:szCs w:val="22"/>
        </w:rPr>
        <w:t>Cumparatorul are dreptul sa refuze toata marfa care nu indeplineste conditiile minime ale specificatiei de calitate si va trebui inlocuita de vanzator.</w:t>
      </w:r>
      <w:r>
        <w:rPr>
          <w:rFonts w:eastAsia="HG Mincho Light J"/>
          <w:color w:val="000000"/>
          <w:kern w:val="2"/>
          <w:sz w:val="22"/>
          <w:szCs w:val="22"/>
          <w:lang w:eastAsia="en-US" w:bidi="en-US"/>
        </w:rPr>
        <w:t xml:space="preserve">Receptia cantitativa si calitativa  a marfii se va face de cumparator la depozitul acestuia. </w:t>
      </w:r>
    </w:p>
    <w:p>
      <w:pPr>
        <w:pStyle w:val="Normal"/>
        <w:jc w:val="both"/>
        <w:rPr/>
      </w:pPr>
      <w:r>
        <w:rPr>
          <w:color w:val="000000"/>
          <w:kern w:val="2"/>
          <w:sz w:val="22"/>
          <w:szCs w:val="22"/>
          <w:lang w:val="es-AR"/>
        </w:rPr>
        <w:t xml:space="preserve">            </w:t>
      </w:r>
      <w:r>
        <w:rPr>
          <w:color w:val="000000"/>
          <w:kern w:val="2"/>
          <w:sz w:val="22"/>
          <w:szCs w:val="22"/>
          <w:lang w:val="es-AR"/>
        </w:rPr>
        <w:t>Vanzatorul va achita cumparatorului toate cheltuielile pe care acesta din urma va fi obligat sa le suporte ca urmare a necorespunderii cantitative si calitative a marfii, inclusiv sumele platite cu titlu de despagubiri, cheltuieli de manipulare, diferente de pret etc., in termen de 5 zile lucratoare de la data la care cumparatorul emite factura in acest sens.</w:t>
      </w:r>
      <w:bookmarkStart w:id="0" w:name="_Hlk119332741"/>
    </w:p>
    <w:p>
      <w:pPr>
        <w:pStyle w:val="Normal"/>
        <w:suppressAutoHyphens w:val="true"/>
        <w:ind w:firstLine="720" w:right="0"/>
        <w:rPr>
          <w:sz w:val="22"/>
          <w:szCs w:val="22"/>
          <w:lang w:val="ro-RO" w:eastAsia="zh-CN"/>
        </w:rPr>
      </w:pPr>
      <w:r>
        <w:rPr>
          <w:sz w:val="22"/>
          <w:szCs w:val="22"/>
          <w:lang w:val="ro-RO" w:eastAsia="zh-CN"/>
        </w:rPr>
        <w:t>Parametrii sau indicii de calitate trebuie sa corespunda tuturor normelor UE.Marfa trebuie sa corespunda din punct de vedere a igienei, trasabilitatii si sigurantei alimentare si sigurantei furajelor si sa indeplineasca conditiile prevazute de legislatia romana si europeana in vigoare.</w:t>
      </w:r>
    </w:p>
    <w:p>
      <w:pPr>
        <w:pStyle w:val="Normal"/>
        <w:suppressAutoHyphens w:val="true"/>
        <w:ind w:firstLine="720" w:right="0"/>
        <w:rPr/>
      </w:pPr>
      <w:r>
        <w:rPr>
          <w:b/>
          <w:sz w:val="22"/>
          <w:szCs w:val="22"/>
          <w:lang w:val="ro-RO" w:eastAsia="zh-CN"/>
        </w:rPr>
        <w:t>Art. 5 CANTITATE, PRET, LIVRARE</w:t>
      </w:r>
      <w:r>
        <w:rPr>
          <w:sz w:val="22"/>
          <w:szCs w:val="22"/>
          <w:lang w:val="ro-RO" w:eastAsia="zh-CN"/>
        </w:rPr>
        <w:t xml:space="preserve"> </w:t>
      </w:r>
    </w:p>
    <w:p>
      <w:pPr>
        <w:pStyle w:val="Normal"/>
        <w:suppressAutoHyphens w:val="true"/>
        <w:ind w:firstLine="720" w:right="0"/>
        <w:rPr>
          <w:sz w:val="22"/>
          <w:szCs w:val="22"/>
          <w:lang w:val="ro-RO" w:eastAsia="zh-CN"/>
        </w:rPr>
      </w:pPr>
      <w:r>
        <w:rPr>
          <w:b/>
          <w:sz w:val="22"/>
          <w:szCs w:val="22"/>
          <w:lang w:val="ro-RO" w:eastAsia="zh-CN"/>
        </w:rPr>
        <w:t>Cantitatea</w:t>
      </w:r>
      <w:r>
        <w:rPr>
          <w:sz w:val="22"/>
          <w:szCs w:val="22"/>
          <w:lang w:val="ro-RO" w:eastAsia="zh-CN"/>
        </w:rPr>
        <w:t xml:space="preserve"> :  _____  tone metrice +/- 5% la opțiunea Cumpărătorului si la prețul din contract. Cantitatea va fi finala la depozitul Cumpărătorului.</w:t>
      </w:r>
    </w:p>
    <w:p>
      <w:pPr>
        <w:pStyle w:val="Normal"/>
        <w:suppressAutoHyphens w:val="true"/>
        <w:ind w:firstLine="720" w:right="0"/>
        <w:rPr/>
      </w:pPr>
      <w:r>
        <w:rPr>
          <w:b/>
          <w:sz w:val="22"/>
          <w:szCs w:val="22"/>
          <w:lang w:val="ro-RO" w:eastAsia="zh-CN"/>
        </w:rPr>
        <w:t>Prețul _______</w:t>
      </w:r>
      <w:r>
        <w:rPr>
          <w:sz w:val="22"/>
          <w:szCs w:val="22"/>
          <w:lang w:val="ro-RO" w:eastAsia="zh-CN"/>
        </w:rPr>
        <w:t xml:space="preserve"> RON per tona metrica, pentru marfa livrata conform termenilor de livrare din acest contract si conform specificațiilor de calitate prevăzute mai sus. Prețul mărfii nu conține T.V.A. </w:t>
      </w:r>
    </w:p>
    <w:p>
      <w:pPr>
        <w:pStyle w:val="Normal"/>
        <w:suppressAutoHyphens w:val="true"/>
        <w:ind w:firstLine="720" w:right="0"/>
        <w:rPr>
          <w:sz w:val="22"/>
          <w:szCs w:val="22"/>
          <w:lang w:val="ro-RO" w:eastAsia="zh-CN"/>
        </w:rPr>
      </w:pPr>
      <w:r>
        <w:rPr>
          <w:b/>
          <w:sz w:val="22"/>
          <w:szCs w:val="22"/>
          <w:lang w:val="ro-RO" w:eastAsia="zh-CN"/>
        </w:rPr>
        <w:t>Perioada si termenii de livrare</w:t>
      </w:r>
      <w:r>
        <w:rPr>
          <w:sz w:val="22"/>
          <w:szCs w:val="22"/>
          <w:lang w:val="ro-RO" w:eastAsia="zh-CN"/>
        </w:rPr>
        <w:t xml:space="preserve"> : Marfa va fi livrata de Vânzător in locul indicat de Cumpărător pana la data de 30.10.2026 la opțiunea si solicitarea Cumpărătorului. Părțile vor agrea un grafic de livrări de comun acord, in cazul livrărilor pe camioane. </w:t>
      </w:r>
    </w:p>
    <w:p>
      <w:pPr>
        <w:pStyle w:val="Normal"/>
        <w:suppressAutoHyphens w:val="true"/>
        <w:ind w:firstLine="720" w:right="0"/>
        <w:rPr/>
      </w:pPr>
      <w:r>
        <w:rPr>
          <w:color w:val="000000"/>
          <w:sz w:val="22"/>
          <w:szCs w:val="22"/>
          <w:lang w:val="ro-RO" w:eastAsia="zh-CN"/>
        </w:rPr>
        <w:t>Marfa va fi livrata de către Vânzător.Acesta va suporta toate costurile ocazionate de livrarea mărfii.In cazul in care transportul va fi asigurat de catre cumparator, acesta va factura costurile aferente catre vanzator.</w:t>
      </w:r>
    </w:p>
    <w:p>
      <w:pPr>
        <w:pStyle w:val="Normal"/>
        <w:suppressAutoHyphens w:val="true"/>
        <w:ind w:firstLine="720" w:right="0"/>
        <w:rPr>
          <w:color w:val="000000"/>
          <w:sz w:val="22"/>
          <w:szCs w:val="22"/>
          <w:lang w:val="ro-RO" w:eastAsia="zh-CN"/>
        </w:rPr>
      </w:pPr>
      <w:r>
        <w:rPr>
          <w:color w:val="000000"/>
          <w:sz w:val="22"/>
          <w:szCs w:val="22"/>
          <w:lang w:val="ro-RO" w:eastAsia="zh-CN"/>
        </w:rPr>
      </w:r>
    </w:p>
    <w:p>
      <w:pPr>
        <w:pStyle w:val="BodyTextIndent"/>
        <w:rPr>
          <w:rFonts w:cs="Times New Roman"/>
          <w:sz w:val="22"/>
          <w:szCs w:val="22"/>
        </w:rPr>
      </w:pPr>
      <w:r>
        <w:rPr>
          <w:rFonts w:cs="Times New Roman"/>
          <w:color w:val="000000"/>
          <w:kern w:val="2"/>
          <w:sz w:val="22"/>
          <w:szCs w:val="22"/>
        </w:rPr>
        <w:t>Vanzatorul va achita cumparatorului toate cheltuielile pe care acesta din urma va fi obligat sa le suporte ca urmare a necorespunderii cantitative si calitative a marfii, inclusiv sumele platite cu titlu de despagubiri, cheltuieli de manipulare, diferente de pret etc., in termen de 5 zile lucratoare de la data la care cumparatorul emite factura in acest sens.</w:t>
      </w:r>
    </w:p>
    <w:p>
      <w:pPr>
        <w:pStyle w:val="Normal"/>
        <w:suppressAutoHyphens w:val="true"/>
        <w:ind w:firstLine="720" w:right="0"/>
        <w:rPr>
          <w:sz w:val="22"/>
          <w:szCs w:val="22"/>
          <w:lang w:val="ro-RO" w:eastAsia="zh-CN"/>
        </w:rPr>
      </w:pPr>
      <w:r>
        <w:rPr>
          <w:b/>
          <w:sz w:val="22"/>
          <w:szCs w:val="22"/>
          <w:lang w:val="ro-RO" w:eastAsia="zh-CN"/>
        </w:rPr>
        <w:t>Art. 6</w:t>
        <w:tab/>
        <w:t>TRANSFERUL PROPRIETATII SI RISCUL MARFII</w:t>
      </w:r>
    </w:p>
    <w:p>
      <w:pPr>
        <w:pStyle w:val="Normal"/>
        <w:suppressAutoHyphens w:val="true"/>
        <w:ind w:firstLine="720" w:right="0"/>
        <w:rPr/>
      </w:pPr>
      <w:r>
        <w:rPr>
          <w:sz w:val="22"/>
          <w:szCs w:val="22"/>
          <w:lang w:val="ro-RO" w:eastAsia="zh-CN"/>
        </w:rPr>
        <w:t>Proprietatea mărfii se transfera de la Vânzător la Cumpărător la momentul transmiterii facturii fiscale in original, sau in copie. Riscurile asupra mărfii se transfera de la Vânzător la Cumpărător după descărcarea si depozitarea acesteia. Vânzătorul declara pe proprie răspundere si garantează Cumpărătorului ca produsele vândute sunt libere de orice sarcini si nu provin din culturi agricole ipotecate la terți.</w:t>
      </w:r>
    </w:p>
    <w:p>
      <w:pPr>
        <w:pStyle w:val="Normal"/>
        <w:suppressAutoHyphens w:val="true"/>
        <w:ind w:firstLine="720" w:right="0"/>
        <w:rPr>
          <w:sz w:val="22"/>
          <w:szCs w:val="22"/>
          <w:lang w:val="ro-RO" w:eastAsia="zh-CN"/>
        </w:rPr>
      </w:pPr>
      <w:r>
        <w:rPr>
          <w:b/>
          <w:sz w:val="22"/>
          <w:szCs w:val="22"/>
          <w:lang w:val="ro-RO" w:eastAsia="zh-CN"/>
        </w:rPr>
        <w:t>Art. 7</w:t>
        <w:tab/>
        <w:t>PLATA</w:t>
      </w:r>
    </w:p>
    <w:p>
      <w:pPr>
        <w:pStyle w:val="Normal"/>
        <w:suppressAutoHyphens w:val="true"/>
        <w:ind w:firstLine="720" w:right="0"/>
        <w:rPr/>
      </w:pPr>
      <w:r>
        <w:rPr>
          <w:sz w:val="22"/>
          <w:szCs w:val="22"/>
          <w:lang w:val="ro-RO" w:eastAsia="zh-CN"/>
        </w:rPr>
        <w:t>100% din valoarea mărfii se va plăti astfel</w:t>
      </w:r>
    </w:p>
    <w:p>
      <w:pPr>
        <w:pStyle w:val="Normal"/>
        <w:suppressAutoHyphens w:val="true"/>
        <w:ind w:firstLine="720" w:right="0"/>
        <w:rPr/>
      </w:pPr>
      <w:r>
        <w:rPr>
          <w:sz w:val="22"/>
          <w:szCs w:val="22"/>
          <w:lang w:val="ro-RO" w:eastAsia="zh-CN"/>
        </w:rPr>
        <w:t xml:space="preserve">-in termen de cel mult 30 de zile de la predarea următoarelor documente in original Cumpărătorului sau reprezentantului acestuia, astfel : Contractul prezent de cumpărare semnat si stampilat; Factura in original. </w:t>
      </w:r>
    </w:p>
    <w:p>
      <w:pPr>
        <w:pStyle w:val="Normal"/>
        <w:suppressAutoHyphens w:val="true"/>
        <w:ind w:firstLine="720" w:right="0"/>
        <w:rPr>
          <w:sz w:val="22"/>
          <w:szCs w:val="22"/>
          <w:lang w:val="ro-RO" w:eastAsia="zh-CN"/>
        </w:rPr>
      </w:pPr>
      <w:r>
        <w:rPr>
          <w:sz w:val="22"/>
          <w:szCs w:val="22"/>
          <w:lang w:val="ro-RO" w:eastAsia="zh-CN"/>
        </w:rPr>
        <w:t xml:space="preserve">Toate costurile, taxele si comisioanele din banca Cumpărătorului vor fi in contul Cumpărătorului iar cele din banca Vânzătorului vor fi in contul Vânzătorului. </w:t>
      </w:r>
    </w:p>
    <w:p>
      <w:pPr>
        <w:pStyle w:val="Indentcorptext3"/>
        <w:rPr>
          <w:rFonts w:ascii="Times New Roman" w:hAnsi="Times New Roman" w:cs="Times New Roman"/>
          <w:szCs w:val="22"/>
        </w:rPr>
      </w:pPr>
      <w:r>
        <w:rPr>
          <w:rFonts w:cs="Times New Roman" w:ascii="Times New Roman" w:hAnsi="Times New Roman"/>
          <w:szCs w:val="22"/>
        </w:rPr>
        <w:t>-prin compensare cu obligaţiile vanzatorului, rezultate din aprovizionarea cu inputuri.</w:t>
      </w:r>
    </w:p>
    <w:p>
      <w:pPr>
        <w:pStyle w:val="Normal"/>
        <w:suppressAutoHyphens w:val="true"/>
        <w:ind w:firstLine="720" w:right="0"/>
        <w:rPr/>
      </w:pPr>
      <w:r>
        <w:rPr>
          <w:sz w:val="22"/>
          <w:szCs w:val="22"/>
          <w:lang w:val="ro-RO" w:eastAsia="zh-CN"/>
        </w:rPr>
        <w:t xml:space="preserve">Vânzătorul va emite factura fiscala în termen de maxim 2 zile fie de la data recepției mărfii de către Cumpărător (pentru executarea, respectiv recepția întregii cantități contractate), fie de la data expirării perioadei de livrare prevăzută de contract (pentru executarea, respectiv recepția parțiala a cantității contractate). </w:t>
      </w:r>
    </w:p>
    <w:p>
      <w:pPr>
        <w:pStyle w:val="Normal"/>
        <w:suppressAutoHyphens w:val="true"/>
        <w:ind w:firstLine="720" w:right="0"/>
        <w:rPr>
          <w:sz w:val="22"/>
          <w:szCs w:val="22"/>
          <w:lang w:val="ro-RO" w:eastAsia="zh-CN"/>
        </w:rPr>
      </w:pPr>
      <w:r>
        <w:rPr>
          <w:b/>
          <w:sz w:val="22"/>
          <w:szCs w:val="22"/>
          <w:lang w:val="ro-RO" w:eastAsia="zh-CN"/>
        </w:rPr>
        <w:t>Art. 8 FORTA MAJORA</w:t>
      </w:r>
    </w:p>
    <w:p>
      <w:pPr>
        <w:pStyle w:val="Normal"/>
        <w:numPr>
          <w:ilvl w:val="0"/>
          <w:numId w:val="2"/>
        </w:numPr>
        <w:tabs>
          <w:tab w:val="clear" w:pos="720"/>
          <w:tab w:val="left" w:pos="2880" w:leader="none"/>
        </w:tabs>
        <w:suppressAutoHyphens w:val="true"/>
        <w:rPr>
          <w:sz w:val="22"/>
          <w:szCs w:val="22"/>
          <w:lang w:val="ro-RO" w:eastAsia="zh-CN"/>
        </w:rPr>
      </w:pPr>
      <w:r>
        <w:rPr>
          <w:sz w:val="22"/>
          <w:szCs w:val="22"/>
          <w:lang w:val="ro-RO" w:eastAsia="zh-CN"/>
        </w:rPr>
        <w:t xml:space="preserve">           </w:t>
      </w:r>
      <w:r>
        <w:rPr>
          <w:sz w:val="22"/>
          <w:szCs w:val="22"/>
          <w:lang w:val="ro-RO" w:eastAsia="zh-CN"/>
        </w:rPr>
        <w:t>In caz de forța majora se aplica prevederile Codului Civil. In conformitate cu prevederile art. 1523 alin.1 Cod Civil, pârțile sunt de drept in întârziere cu privire la executarea obligațiilor asumate potrivit prezentului Contract, la data ajungerii lor la scadenta.</w:t>
      </w:r>
    </w:p>
    <w:p>
      <w:pPr>
        <w:pStyle w:val="Normal"/>
        <w:suppressAutoHyphens w:val="true"/>
        <w:ind w:firstLine="720" w:right="0"/>
        <w:rPr/>
      </w:pPr>
      <w:r>
        <w:rPr>
          <w:b/>
          <w:sz w:val="22"/>
          <w:szCs w:val="22"/>
          <w:lang w:val="ro-RO" w:eastAsia="zh-CN"/>
        </w:rPr>
        <w:t>Art. 9 DISPOZITII FINALE</w:t>
      </w:r>
    </w:p>
    <w:p>
      <w:pPr>
        <w:pStyle w:val="Standard"/>
        <w:tabs>
          <w:tab w:val="clear" w:pos="720"/>
          <w:tab w:val="center" w:pos="4320" w:leader="none"/>
          <w:tab w:val="right" w:pos="8640" w:leader="none"/>
        </w:tabs>
        <w:rPr>
          <w:rFonts w:cs="Times New Roman"/>
          <w:sz w:val="22"/>
          <w:szCs w:val="22"/>
          <w:lang w:val="es-AR"/>
        </w:rPr>
      </w:pPr>
      <w:r>
        <w:rPr>
          <w:rFonts w:eastAsia="HG Mincho Light J" w:cs="Times New Roman"/>
          <w:color w:val="000000"/>
          <w:sz w:val="22"/>
          <w:szCs w:val="22"/>
          <w:lang w:val="es-AR"/>
        </w:rPr>
        <w:tab/>
        <w:t xml:space="preserve">             Nerespectarea obligatiilor contractuale de catre una din parti, da dreptul celeilalte parti, dupa o</w:t>
      </w:r>
    </w:p>
    <w:p>
      <w:pPr>
        <w:pStyle w:val="Standard"/>
        <w:tabs>
          <w:tab w:val="clear" w:pos="720"/>
          <w:tab w:val="center" w:pos="4368" w:leader="none"/>
          <w:tab w:val="right" w:pos="8688" w:leader="none"/>
        </w:tabs>
        <w:ind w:hanging="12" w:left="48" w:right="0"/>
        <w:rPr>
          <w:rFonts w:eastAsia="HG Mincho Light J" w:cs="Times New Roman"/>
          <w:color w:val="000000"/>
          <w:sz w:val="22"/>
          <w:szCs w:val="22"/>
          <w:lang w:val="es-AR"/>
        </w:rPr>
      </w:pPr>
      <w:r>
        <w:rPr>
          <w:rFonts w:eastAsia="HG Mincho Light J" w:cs="Times New Roman"/>
          <w:color w:val="000000"/>
          <w:sz w:val="22"/>
          <w:szCs w:val="22"/>
          <w:lang w:val="es-AR"/>
        </w:rPr>
        <w:t>notificare prealabila, sa pretinda acoperirea integrala a prejudiciului cauzat.</w:t>
      </w:r>
    </w:p>
    <w:p>
      <w:pPr>
        <w:pStyle w:val="Standard"/>
        <w:tabs>
          <w:tab w:val="clear" w:pos="720"/>
          <w:tab w:val="center" w:pos="4356" w:leader="none"/>
          <w:tab w:val="right" w:pos="8676" w:leader="none"/>
        </w:tabs>
        <w:ind w:hanging="360" w:left="36" w:right="0"/>
        <w:rPr>
          <w:rFonts w:cs="Times New Roman"/>
          <w:sz w:val="22"/>
          <w:szCs w:val="22"/>
          <w:lang w:val="es-AR"/>
        </w:rPr>
      </w:pPr>
      <w:r>
        <w:rPr>
          <w:rFonts w:eastAsia="Times New Roman" w:cs="Times New Roman"/>
          <w:color w:val="000000"/>
          <w:sz w:val="22"/>
          <w:szCs w:val="22"/>
          <w:shd w:fill="FFFFFF" w:val="clear"/>
          <w:lang w:val="es-AR"/>
        </w:rPr>
        <w:t xml:space="preserve">                  </w:t>
      </w:r>
      <w:r>
        <w:rPr>
          <w:rFonts w:cs="Times New Roman"/>
          <w:color w:val="000000"/>
          <w:sz w:val="22"/>
          <w:szCs w:val="22"/>
          <w:shd w:fill="FFFFFF" w:val="clear"/>
          <w:lang w:val="es-AR"/>
        </w:rPr>
        <w:t>In cazul nerespectarii perioadei de livrare, Cumparatorul are dreptul ca, incepand cu prima zi dupa expirarea termenului de livrare sa cumpere intreaga cantitate de marfa nelivrata de catre Vanzator  de la terti la alegerea exclusiva a Cumparatorului. In acest caz Vanzatorul se obliga ca, la cererea adresata in scris de catre Cumparator sa-l despagubeasca pe acesta cu suma reprezentand diferenta dintre pretul platit pentru cumpararea cantitatii de marfa nelivrate,  la terti si pretul stabilit prin prezentul contract, cumparatorul avand dreptul  de a solicita despagubiri, care sa acopere in totalitate prejudiciul creat si sa inchida contractul fara notificarea Vanzatorului.</w:t>
      </w:r>
    </w:p>
    <w:p>
      <w:pPr>
        <w:pStyle w:val="Standard"/>
        <w:shd w:fill="FFFFFF" w:val="clear"/>
        <w:tabs>
          <w:tab w:val="clear" w:pos="720"/>
          <w:tab w:val="center" w:pos="4344" w:leader="none"/>
          <w:tab w:val="right" w:pos="8664" w:leader="none"/>
        </w:tabs>
        <w:ind w:left="24" w:right="0"/>
        <w:rPr/>
      </w:pPr>
      <w:r>
        <w:rPr>
          <w:rFonts w:eastAsia="Times New Roman" w:cs="Times New Roman"/>
          <w:color w:val="000000"/>
          <w:sz w:val="22"/>
          <w:szCs w:val="22"/>
          <w:shd w:fill="FFFFFF" w:val="clear"/>
          <w:lang w:val="es-AR"/>
        </w:rPr>
        <w:t xml:space="preserve">            </w:t>
      </w:r>
      <w:r>
        <w:rPr>
          <w:rFonts w:cs="Times New Roman"/>
          <w:color w:val="000000"/>
          <w:sz w:val="22"/>
          <w:szCs w:val="22"/>
          <w:shd w:fill="FFFFFF" w:val="clear"/>
          <w:lang w:val="es-AR"/>
        </w:rPr>
        <w:t xml:space="preserve">In cazul in care Cumparatorul va fi nevoit sa achizitioneze acelasi tip de marfa de pe piata, in  conditii de livrare diferite de cele din prezentul contract, in calculul diferentei de pret se considera si cheltuielile suplimentare privind transportul produsului spre destinatia avuta </w:t>
      </w:r>
      <w:r>
        <w:rPr>
          <w:rFonts w:eastAsia="HG Mincho Light J" w:cs="Times New Roman"/>
          <w:color w:val="000000"/>
          <w:sz w:val="22"/>
          <w:szCs w:val="22"/>
          <w:shd w:fill="FFFFFF" w:val="clear"/>
          <w:lang w:val="es-AR"/>
        </w:rPr>
        <w:t>in vedere de catre Cumparator.</w:t>
      </w:r>
    </w:p>
    <w:p>
      <w:pPr>
        <w:pStyle w:val="Default"/>
        <w:rPr/>
      </w:pPr>
      <w:r>
        <w:rPr>
          <w:sz w:val="22"/>
          <w:szCs w:val="22"/>
        </w:rPr>
        <w:tab/>
        <w:t xml:space="preserve">Vanzatorul are obligatia de a plati  suma imputata in maxim 5 zile de la emiterea facturii pentru aceste sume de catre Cumparator. Cumparatorul are dreptul de a compensa plata penalitatilor si a daunele interese datorate de catre Vanzator cu orice plata datorata sau care va fi datorata in viitor de catre Cumparator Vanzatorului in baza acestui Contract sau a oricaror alte contracte prezente sau viitoare. Compensarea se va putea face oricand imediat dupa expirarea perioadei de livrare mentionate mai sus, la optiunea Cumparatorului. </w:t>
      </w:r>
    </w:p>
    <w:p>
      <w:pPr>
        <w:pStyle w:val="Standard"/>
        <w:tabs>
          <w:tab w:val="clear" w:pos="720"/>
          <w:tab w:val="left" w:pos="1410" w:leader="none"/>
          <w:tab w:val="left" w:pos="4320" w:leader="none"/>
          <w:tab w:val="right" w:pos="8640" w:leader="none"/>
        </w:tabs>
        <w:rPr/>
      </w:pPr>
      <w:r>
        <w:rPr>
          <w:rFonts w:eastAsia="Times New Roman" w:cs="Times New Roman"/>
          <w:color w:val="000000"/>
          <w:sz w:val="22"/>
          <w:szCs w:val="22"/>
          <w:lang w:val="es-AR"/>
        </w:rPr>
        <w:t xml:space="preserve">       </w:t>
      </w:r>
      <w:r>
        <w:rPr>
          <w:rFonts w:eastAsia="Times New Roman" w:cs="Times New Roman"/>
          <w:b/>
          <w:bCs/>
          <w:color w:val="000000"/>
          <w:sz w:val="22"/>
          <w:szCs w:val="22"/>
          <w:lang w:val="es-AR"/>
        </w:rPr>
        <w:t xml:space="preserve">     </w:t>
      </w:r>
      <w:r>
        <w:rPr>
          <w:rFonts w:eastAsia="HG Mincho Light J" w:cs="Times New Roman"/>
          <w:color w:val="000000"/>
          <w:sz w:val="22"/>
          <w:szCs w:val="22"/>
          <w:lang w:val="es-AR"/>
        </w:rPr>
        <w:t>Orice alte litigii ce pot aparea intre partile contractuale in legatura cu interpretarea si executarea prezentului contract, vor fi solutionate pe cale ameabila, iar in caz de esec, vor fi deferite instantelor judecatoresti copetente de la sediul cumparatorului</w:t>
      </w:r>
    </w:p>
    <w:p>
      <w:pPr>
        <w:pStyle w:val="Indentcorptext3"/>
        <w:rPr>
          <w:rFonts w:ascii="Times New Roman" w:hAnsi="Times New Roman" w:cs="Times New Roman"/>
          <w:szCs w:val="22"/>
        </w:rPr>
      </w:pPr>
      <w:r>
        <w:rPr>
          <w:rFonts w:cs="Times New Roman" w:ascii="Times New Roman" w:hAnsi="Times New Roman"/>
          <w:szCs w:val="22"/>
        </w:rPr>
        <w:t xml:space="preserve">Partea care nu îşi execută total sau parţial obligaţiile contractuale va plăti penalităţi corespunzătoare daunelor suferite de cealaltă parte, în procent de 0,1 la %/zi de întârziere. </w:t>
      </w:r>
    </w:p>
    <w:p>
      <w:pPr>
        <w:pStyle w:val="Normal"/>
        <w:suppressAutoHyphens w:val="true"/>
        <w:ind w:firstLine="720" w:right="0"/>
        <w:rPr/>
      </w:pPr>
      <w:r>
        <w:rPr>
          <w:sz w:val="22"/>
          <w:szCs w:val="22"/>
          <w:lang w:val="ro-RO" w:eastAsia="zh-CN"/>
        </w:rPr>
        <w:t xml:space="preserve">Părțile se obliga sa se informeze reciproc in mod regulat despre sosirea mijloacelor de transport, situația încărcării acestora, numărul camioanelor/vagoanelor plecate/sosite si descărcate/încărcate. Vânzătorul va suporta toate cheltuielile ocazionate Cumpărătorului de nelivrare sau de livrarea unei mărfi necorespunzătoare calitativ. </w:t>
      </w:r>
    </w:p>
    <w:p>
      <w:pPr>
        <w:pStyle w:val="Normal"/>
        <w:suppressAutoHyphens w:val="true"/>
        <w:ind w:firstLine="720" w:right="0"/>
        <w:rPr>
          <w:sz w:val="22"/>
          <w:szCs w:val="22"/>
          <w:lang w:val="ro-RO" w:eastAsia="zh-CN"/>
        </w:rPr>
      </w:pPr>
      <w:r>
        <w:rPr>
          <w:sz w:val="22"/>
          <w:szCs w:val="22"/>
          <w:lang w:val="ro-RO" w:eastAsia="zh-CN"/>
        </w:rPr>
        <w:t xml:space="preserve">Vânzătorul se angajează irevocabil si necondiționat si garantează Cumpărătorului ca va înregistra contabil corect sumele facturate si valoarea TVA-ului aferent. </w:t>
      </w:r>
    </w:p>
    <w:p>
      <w:pPr>
        <w:pStyle w:val="Normal"/>
        <w:suppressAutoHyphens w:val="true"/>
        <w:ind w:firstLine="720" w:right="0"/>
        <w:rPr/>
      </w:pPr>
      <w:r>
        <w:rPr>
          <w:sz w:val="22"/>
          <w:szCs w:val="22"/>
          <w:lang w:val="ro-RO" w:eastAsia="zh-CN"/>
        </w:rPr>
        <w:t>Vânzătorul se angajează sa-i plătească Cumpărătorului orice suma reprezentând despăgubiri, penalități, dobânzi, etc., aplicate Cumpărătorului de autoritatea fiscala din cauza nerespectării de către Vânzător a dispozițiilor prezentului contract, in termen de 5 (cinci) zile lucrătoare de la data la care Cumpărătorul emite factura in acest sens.</w:t>
      </w:r>
    </w:p>
    <w:p>
      <w:pPr>
        <w:pStyle w:val="Normal"/>
        <w:suppressAutoHyphens w:val="true"/>
        <w:ind w:firstLine="720" w:right="0"/>
        <w:rPr>
          <w:sz w:val="22"/>
          <w:szCs w:val="22"/>
          <w:lang w:val="ro-RO" w:eastAsia="zh-CN"/>
        </w:rPr>
      </w:pPr>
      <w:r>
        <w:rPr>
          <w:sz w:val="22"/>
          <w:szCs w:val="22"/>
          <w:lang w:val="ro-RO" w:eastAsia="zh-CN"/>
        </w:rPr>
        <w:t xml:space="preserve">Vânzătorul se obliga sa semneze formularul Declarația Producătorului, prin care vânzătorul declara pe propria răspundere de unde provine marfa, declarația de sustenabilitate, Declarația NON GMO, copie după certificatul ISCC, in cazul in care Vânzătorul este înregistrat ISCC, Protocolul de utilizare a garanțiilor si procesul de predare – primire Bilet la ordin. </w:t>
      </w:r>
    </w:p>
    <w:p>
      <w:pPr>
        <w:pStyle w:val="Normal"/>
        <w:suppressAutoHyphens w:val="true"/>
        <w:ind w:firstLine="720" w:right="0"/>
        <w:rPr/>
      </w:pPr>
      <w:r>
        <w:rPr>
          <w:sz w:val="22"/>
          <w:szCs w:val="22"/>
          <w:lang w:val="ro-RO" w:eastAsia="zh-CN"/>
        </w:rPr>
        <w:t xml:space="preserve">Vânzătorul declara pe proprie răspundere si sub sancțiunea legii ca este producătorul mărfii contractate sau ca lotul de marfa provine din spatii de depozitare autorizate conform cu O.U.G. nr.12/22.02.2006, conform declarației anexate (daca este cazul) la prezentul contract. </w:t>
      </w:r>
    </w:p>
    <w:p>
      <w:pPr>
        <w:pStyle w:val="Normal"/>
        <w:suppressAutoHyphens w:val="true"/>
        <w:ind w:firstLine="720" w:right="0"/>
        <w:rPr>
          <w:sz w:val="22"/>
          <w:szCs w:val="22"/>
          <w:lang w:val="ro-RO" w:eastAsia="zh-CN"/>
        </w:rPr>
      </w:pPr>
      <w:r>
        <w:rPr>
          <w:sz w:val="22"/>
          <w:szCs w:val="22"/>
          <w:lang w:val="ro-RO" w:eastAsia="zh-CN"/>
        </w:rPr>
        <w:t xml:space="preserve">Vânzătorul se obliga ca in termen de 48 de ore de la semnarea contractului sa transmită către Cumpărător copie după Certificatul de Înmatriculare si Certificatul de Plătitor de TVA. </w:t>
      </w:r>
    </w:p>
    <w:p>
      <w:pPr>
        <w:pStyle w:val="Normal"/>
        <w:suppressAutoHyphens w:val="true"/>
        <w:ind w:firstLine="720" w:right="0"/>
        <w:rPr/>
      </w:pPr>
      <w:r>
        <w:rPr>
          <w:sz w:val="22"/>
          <w:szCs w:val="22"/>
          <w:lang w:val="ro-RO" w:eastAsia="zh-CN"/>
        </w:rPr>
        <w:t xml:space="preserve">Vânzătorul confirma prin prezentul contract ca este in deplina cunoștința privind Legile, Regulile si Regulamentele de Calitate, Condiție si Siguranța in Alimentație si Furaje, atât locale cat si E.U., si confirma irevocabil si necondiționat ca toata marfa livrata in cadrul prezentului contract respecta in totalitate toate condițiile impuse de acestea, inclusiv dar nelimitate la cele care fac referire la nivelul maxim admis de contaminanți, pesticide, îngrășăminte, micotoxine etc. </w:t>
      </w:r>
    </w:p>
    <w:p>
      <w:pPr>
        <w:pStyle w:val="Normal"/>
        <w:suppressAutoHyphens w:val="true"/>
        <w:ind w:firstLine="720" w:right="0"/>
        <w:rPr>
          <w:sz w:val="22"/>
          <w:szCs w:val="22"/>
          <w:lang w:val="ro-RO" w:eastAsia="zh-CN"/>
        </w:rPr>
      </w:pPr>
      <w:r>
        <w:rPr>
          <w:sz w:val="22"/>
          <w:szCs w:val="22"/>
          <w:lang w:val="ro-RO" w:eastAsia="zh-CN"/>
        </w:rPr>
        <w:t xml:space="preserve">Prezentul contract este valabil pana la executarea integrala a obligațiilor asumate de către cele doua părți contractante. </w:t>
      </w:r>
    </w:p>
    <w:p>
      <w:pPr>
        <w:pStyle w:val="Normal"/>
        <w:suppressAutoHyphens w:val="true"/>
        <w:ind w:firstLine="720" w:right="0"/>
        <w:rPr/>
      </w:pPr>
      <w:r>
        <w:rPr>
          <w:sz w:val="22"/>
          <w:szCs w:val="22"/>
          <w:lang w:val="ro-RO" w:eastAsia="zh-CN"/>
        </w:rPr>
        <w:t xml:space="preserve">Aceasta convenție este in conformitate cu regulamentele si legile României si este completata de prevederile Codului Civil, INCOTERMS 2010, etc., precum si de alte prevederi legale in vigoare. </w:t>
      </w:r>
    </w:p>
    <w:p>
      <w:pPr>
        <w:pStyle w:val="Normal"/>
        <w:suppressAutoHyphens w:val="true"/>
        <w:ind w:firstLine="720" w:right="0"/>
        <w:rPr>
          <w:sz w:val="22"/>
          <w:szCs w:val="22"/>
          <w:lang w:val="ro-RO" w:eastAsia="zh-CN"/>
        </w:rPr>
      </w:pPr>
      <w:r>
        <w:rPr>
          <w:sz w:val="22"/>
          <w:szCs w:val="22"/>
          <w:lang w:val="ro-RO" w:eastAsia="zh-CN"/>
        </w:rPr>
        <w:t xml:space="preserve">Părțile contractante, având la cunoștința natura obligațiilor avute in vedere de prezentul contract, declara ca isi asuma prin prezentul contract, riscul schimbării împrejurărilor in care este încheiat acesta, in conformitate cu art.1271 alineat 3 litera c) din Codul Civil, si renunța la invocarea impreviziunii in legătura cu acest contract. </w:t>
      </w:r>
    </w:p>
    <w:p>
      <w:pPr>
        <w:pStyle w:val="Standard"/>
        <w:tabs>
          <w:tab w:val="clear" w:pos="720"/>
          <w:tab w:val="left" w:pos="1410" w:leader="none"/>
          <w:tab w:val="left" w:pos="4320" w:leader="none"/>
          <w:tab w:val="right" w:pos="8640" w:leader="none"/>
        </w:tabs>
        <w:ind w:hanging="371" w:right="0"/>
        <w:rPr>
          <w:rFonts w:cs="Times New Roman"/>
          <w:sz w:val="22"/>
          <w:szCs w:val="22"/>
          <w:lang w:val="ro-RO"/>
        </w:rPr>
      </w:pPr>
      <w:r>
        <w:rPr>
          <w:rFonts w:eastAsia="Times New Roman" w:cs="Times New Roman"/>
          <w:color w:val="000000"/>
          <w:sz w:val="22"/>
          <w:szCs w:val="22"/>
          <w:lang w:val="ro-RO"/>
        </w:rPr>
        <w:t xml:space="preserve">                    </w:t>
      </w:r>
      <w:r>
        <w:rPr>
          <w:rFonts w:eastAsia="HG Mincho Light J" w:cs="Times New Roman"/>
          <w:color w:val="000000"/>
          <w:sz w:val="22"/>
          <w:szCs w:val="22"/>
          <w:lang w:val="ro-RO"/>
        </w:rPr>
        <w:t>Având în vedere preved</w:t>
      </w:r>
      <w:r>
        <w:rPr>
          <w:rFonts w:eastAsia="HG Mincho Light J" w:cs="Times New Roman"/>
          <w:color w:val="000000"/>
          <w:sz w:val="22"/>
          <w:szCs w:val="22"/>
          <w:lang w:val="ro-RO"/>
        </w:rPr>
        <w:t xml:space="preserve">erile Regulamentului (UE) 2016/679 al Parlamentului European și al Consiliului din 27 Aprilie 2016, privind protecția persoanelor fizice în ceea ce privește prelucrarea datelor cu caracter personal și libera circulație a acestor date,partile sunt de acord cu prelucrarea reciproca a acestor date, fiecare societate depunand toate eforturile rezonabile pentru a proteja datele cu caracter personal aflate în posesia sau sub controlul său prin stabilirea unor măsuri rezonabile de securitate în vederea prevenirii accesării, colectării, utilizării, divulgării, copierii sau modificării neautorizate, precum și a altor riscuri similare . </w:t>
        <w:tab/>
      </w:r>
    </w:p>
    <w:p>
      <w:pPr>
        <w:pStyle w:val="Standard"/>
        <w:tabs>
          <w:tab w:val="clear" w:pos="720"/>
          <w:tab w:val="left" w:pos="1439" w:leader="none"/>
          <w:tab w:val="left" w:pos="4349" w:leader="none"/>
          <w:tab w:val="right" w:pos="8669" w:leader="none"/>
        </w:tabs>
        <w:ind w:hanging="114" w:left="29" w:right="0"/>
        <w:rPr/>
      </w:pPr>
      <w:r>
        <w:rPr>
          <w:rFonts w:eastAsia="Times New Roman" w:cs="Times New Roman"/>
          <w:color w:val="000000"/>
          <w:sz w:val="22"/>
          <w:szCs w:val="22"/>
          <w:lang w:val="ro-RO"/>
        </w:rPr>
        <w:t xml:space="preserve">            </w:t>
      </w:r>
      <w:r>
        <w:rPr>
          <w:rFonts w:eastAsia="HG Mincho Light J" w:cs="Times New Roman"/>
          <w:color w:val="000000"/>
          <w:sz w:val="22"/>
          <w:szCs w:val="22"/>
          <w:lang w:val="es-AR"/>
        </w:rPr>
        <w:t>Prezentul contract va fi transmis prin fax/email, modalitate de corespondenta agreata de parti.In cazul in care vanzatorul nu isi indeplineste obligatia de a transmite contractul semnat in termen de 24 de ore de la data cand a fost trimis de cumparator,  acesta din urma are dreptul exculsiv de a denunta unilateral, partial sau total, prezentul contract, fara nici o penalitate in contul cumparatorului.</w:t>
      </w:r>
    </w:p>
    <w:p>
      <w:pPr>
        <w:pStyle w:val="Standard"/>
        <w:tabs>
          <w:tab w:val="clear" w:pos="720"/>
          <w:tab w:val="left" w:pos="1439" w:leader="none"/>
          <w:tab w:val="left" w:pos="4349" w:leader="none"/>
          <w:tab w:val="right" w:pos="8669" w:leader="none"/>
        </w:tabs>
        <w:ind w:hanging="114" w:left="29" w:right="0"/>
        <w:rPr>
          <w:rFonts w:eastAsia="HG Mincho Light J" w:cs="Times New Roman"/>
          <w:color w:val="000000"/>
          <w:sz w:val="22"/>
          <w:szCs w:val="22"/>
          <w:lang w:val="es-AR"/>
        </w:rPr>
      </w:pPr>
      <w:r>
        <w:rPr>
          <w:rFonts w:eastAsia="HG Mincho Light J" w:cs="Times New Roman"/>
          <w:color w:val="000000"/>
          <w:sz w:val="22"/>
          <w:szCs w:val="22"/>
          <w:lang w:val="es-AR"/>
        </w:rPr>
        <w:tab/>
        <w:t xml:space="preserve">                Incheiat la Carei, in limba romana in 2 (doua) exemplare.</w:t>
      </w:r>
    </w:p>
    <w:p>
      <w:pPr>
        <w:pStyle w:val="Standard"/>
        <w:tabs>
          <w:tab w:val="clear" w:pos="720"/>
          <w:tab w:val="center" w:pos="4320" w:leader="none"/>
          <w:tab w:val="right" w:pos="8640" w:leader="none"/>
        </w:tabs>
        <w:rPr>
          <w:rFonts w:cs="Times New Roman"/>
          <w:sz w:val="22"/>
          <w:szCs w:val="22"/>
          <w:lang w:val="es-AR"/>
        </w:rPr>
      </w:pPr>
      <w:r>
        <w:rPr>
          <w:rFonts w:eastAsia="Times New Roman" w:cs="Times New Roman"/>
          <w:b/>
          <w:color w:val="000000"/>
          <w:sz w:val="22"/>
          <w:szCs w:val="22"/>
          <w:lang w:val="es-AR"/>
        </w:rPr>
        <w:t xml:space="preserve">        </w:t>
      </w:r>
      <w:r>
        <w:rPr>
          <w:rFonts w:eastAsia="Times New Roman" w:cs="Times New Roman"/>
          <w:color w:val="000000"/>
          <w:sz w:val="22"/>
          <w:szCs w:val="22"/>
          <w:lang w:val="es-AR"/>
        </w:rPr>
        <w:t xml:space="preserve"> </w:t>
      </w:r>
      <w:r>
        <w:rPr>
          <w:rFonts w:eastAsia="HG Mincho Light J" w:cs="Times New Roman"/>
          <w:color w:val="000000"/>
          <w:sz w:val="22"/>
          <w:szCs w:val="22"/>
          <w:lang w:val="es-AR"/>
        </w:rPr>
        <w:tab/>
        <w:tab/>
        <w:tab/>
      </w:r>
      <w:r>
        <w:rPr>
          <w:rFonts w:eastAsia="HG Mincho Light J" w:cs="Times New Roman"/>
          <w:b/>
          <w:color w:val="000000"/>
          <w:sz w:val="22"/>
          <w:szCs w:val="22"/>
          <w:lang w:val="es-AR"/>
        </w:rPr>
        <w:t xml:space="preserve">                        </w:t>
      </w:r>
    </w:p>
    <w:p>
      <w:pPr>
        <w:pStyle w:val="Heading1"/>
        <w:ind w:hanging="0" w:left="0"/>
        <w:jc w:val="left"/>
        <w:rPr/>
      </w:pPr>
      <w:r>
        <w:rPr>
          <w:rFonts w:cs="Times New Roman"/>
          <w:b w:val="false"/>
          <w:bCs w:val="false"/>
          <w:sz w:val="22"/>
          <w:szCs w:val="22"/>
        </w:rPr>
        <w:tab/>
        <w:t xml:space="preserve">   </w:t>
      </w:r>
      <w:r>
        <w:rPr>
          <w:rFonts w:cs="Times New Roman"/>
          <w:b w:val="false"/>
          <w:bCs w:val="false"/>
          <w:sz w:val="22"/>
          <w:szCs w:val="22"/>
          <w:u w:val="single"/>
        </w:rPr>
        <w:t>CUMPARATOR</w:t>
      </w:r>
      <w:r>
        <w:rPr>
          <w:rFonts w:cs="Times New Roman"/>
          <w:b w:val="false"/>
          <w:bCs w:val="false"/>
          <w:sz w:val="22"/>
          <w:szCs w:val="22"/>
        </w:rPr>
        <w:t xml:space="preserve">,           </w:t>
        <w:tab/>
        <w:tab/>
        <w:tab/>
        <w:tab/>
        <w:tab/>
      </w:r>
      <w:r>
        <w:rPr>
          <w:rFonts w:cs="Times New Roman"/>
          <w:b w:val="false"/>
          <w:bCs w:val="false"/>
          <w:sz w:val="22"/>
          <w:szCs w:val="22"/>
          <w:u w:val="single"/>
        </w:rPr>
        <w:t>VANZATOR</w:t>
      </w:r>
      <w:r>
        <w:rPr>
          <w:rFonts w:cs="Times New Roman"/>
          <w:b w:val="false"/>
          <w:bCs w:val="false"/>
          <w:sz w:val="22"/>
          <w:szCs w:val="22"/>
        </w:rPr>
        <w:t xml:space="preserve">,                                       </w:t>
      </w:r>
    </w:p>
    <w:p>
      <w:pPr>
        <w:pStyle w:val="Normal"/>
        <w:ind w:firstLine="720" w:right="0"/>
        <w:rPr>
          <w:sz w:val="22"/>
          <w:szCs w:val="22"/>
          <w:lang w:val="es-AR"/>
        </w:rPr>
      </w:pPr>
      <w:r>
        <w:rPr>
          <w:sz w:val="22"/>
          <w:szCs w:val="22"/>
          <w:lang w:val="es-AR"/>
        </w:rPr>
        <w:t xml:space="preserve">S.C.  </w:t>
      </w:r>
      <w:r>
        <w:rPr>
          <w:b/>
          <w:bCs/>
          <w:sz w:val="22"/>
          <w:szCs w:val="22"/>
          <w:lang w:val="es-AR"/>
        </w:rPr>
        <w:t>AGROTEX</w:t>
      </w:r>
      <w:r>
        <w:rPr>
          <w:sz w:val="22"/>
          <w:szCs w:val="22"/>
          <w:lang w:val="es-AR"/>
        </w:rPr>
        <w:t xml:space="preserve">  S.R.L.                                               </w:t>
        <w:tab/>
      </w:r>
      <w:r>
        <w:rPr>
          <w:sz w:val="22"/>
          <w:szCs w:val="22"/>
          <w:lang w:val="ro-RO"/>
        </w:rPr>
        <w:t>________________________</w:t>
      </w:r>
    </w:p>
    <w:p>
      <w:pPr>
        <w:pStyle w:val="Normal"/>
        <w:ind w:firstLine="720" w:right="0"/>
        <w:rPr>
          <w:sz w:val="22"/>
          <w:szCs w:val="22"/>
          <w:lang w:val="ro-RO"/>
        </w:rPr>
      </w:pPr>
      <w:r>
        <w:rPr>
          <w:sz w:val="22"/>
          <w:szCs w:val="22"/>
          <w:lang w:val="es-AR"/>
        </w:rPr>
        <w:t xml:space="preserve">director general,                              </w:t>
        <w:tab/>
        <w:tab/>
        <w:t xml:space="preserve">             ________________________            </w:t>
      </w:r>
    </w:p>
    <w:p>
      <w:pPr>
        <w:pStyle w:val="Normal"/>
        <w:ind w:firstLine="720" w:right="0"/>
        <w:rPr>
          <w:sz w:val="22"/>
          <w:szCs w:val="22"/>
          <w:lang w:val="ro-RO"/>
        </w:rPr>
      </w:pPr>
      <w:r>
        <w:rPr>
          <w:sz w:val="22"/>
          <w:szCs w:val="22"/>
          <w:lang w:val="es-AR"/>
        </w:rPr>
        <w:t xml:space="preserve">ing. Adrian Mircea Lăţa                   </w:t>
        <w:tab/>
        <w:tab/>
        <w:tab/>
        <w:t>_________________________</w:t>
      </w:r>
      <w:r>
        <w:rPr>
          <w:sz w:val="22"/>
          <w:szCs w:val="22"/>
          <w:lang w:val="ro-RO"/>
        </w:rPr>
        <w:t xml:space="preserve">            </w:t>
        <w:tab/>
        <w:t xml:space="preserve"> </w:t>
      </w:r>
    </w:p>
    <w:p>
      <w:pPr>
        <w:pStyle w:val="Normal"/>
        <w:spacing w:lineRule="auto" w:line="360"/>
        <w:rPr>
          <w:sz w:val="22"/>
          <w:szCs w:val="22"/>
          <w:lang w:val="ro-RO"/>
        </w:rPr>
      </w:pPr>
      <w:r>
        <w:rPr>
          <w:sz w:val="22"/>
          <w:szCs w:val="22"/>
          <w:lang w:val="ro-RO"/>
        </w:rPr>
        <w:tab/>
        <w:t>ec. Adina Timonea</w:t>
      </w:r>
    </w:p>
    <w:p>
      <w:pPr>
        <w:pStyle w:val="Normal"/>
        <w:rPr>
          <w:sz w:val="22"/>
          <w:szCs w:val="22"/>
          <w:lang w:val="ro-RO"/>
        </w:rPr>
      </w:pPr>
      <w:r>
        <w:rPr>
          <w:sz w:val="22"/>
          <w:szCs w:val="22"/>
          <w:lang w:val="ro-RO"/>
        </w:rPr>
        <w:tab/>
        <w:t>director achizitii</w:t>
      </w:r>
    </w:p>
    <w:p>
      <w:pPr>
        <w:pStyle w:val="Normal"/>
        <w:rPr>
          <w:sz w:val="22"/>
          <w:szCs w:val="22"/>
          <w:lang w:val="es-AR"/>
        </w:rPr>
      </w:pPr>
      <w:r>
        <w:rPr>
          <w:sz w:val="22"/>
          <w:szCs w:val="22"/>
          <w:lang w:val="ro-RO"/>
        </w:rPr>
        <w:tab/>
      </w:r>
    </w:p>
    <w:p>
      <w:pPr>
        <w:pStyle w:val="Normal"/>
        <w:suppressAutoHyphens w:val="true"/>
        <w:jc w:val="both"/>
        <w:rPr>
          <w:sz w:val="22"/>
          <w:szCs w:val="22"/>
          <w:lang w:val="ro-RO" w:eastAsia="zh-CN"/>
        </w:rPr>
      </w:pPr>
      <w:r>
        <w:rPr>
          <w:sz w:val="22"/>
          <w:szCs w:val="22"/>
          <w:lang w:val="ro-RO" w:eastAsia="zh-CN"/>
        </w:rPr>
      </w:r>
    </w:p>
    <w:p>
      <w:pPr>
        <w:pStyle w:val="Indentcorptext3"/>
        <w:rPr>
          <w:rFonts w:ascii="Times New Roman" w:hAnsi="Times New Roman" w:cs="Times New Roman"/>
          <w:b/>
          <w:bCs/>
          <w:szCs w:val="22"/>
        </w:rPr>
      </w:pPr>
      <w:r>
        <w:rPr>
          <w:rFonts w:cs="Times New Roman" w:ascii="Times New Roman" w:hAnsi="Times New Roman"/>
          <w:szCs w:val="22"/>
        </w:rPr>
        <w:t>viza Of.juridic</w:t>
      </w:r>
      <w:bookmarkEnd w:id="0"/>
    </w:p>
    <w:p>
      <w:pPr>
        <w:pStyle w:val="Standard"/>
        <w:tabs>
          <w:tab w:val="clear" w:pos="720"/>
          <w:tab w:val="center" w:pos="4320" w:leader="none"/>
          <w:tab w:val="right" w:pos="8640" w:leader="none"/>
        </w:tabs>
        <w:rPr>
          <w:rFonts w:ascii="Times New Roman" w:hAnsi="Times New Roman" w:cs="Times New Roman"/>
          <w:b/>
          <w:bCs/>
          <w:sz w:val="20"/>
          <w:szCs w:val="20"/>
        </w:rPr>
      </w:pPr>
      <w:r>
        <w:rPr>
          <w:rFonts w:cs="Times New Roman"/>
          <w:b/>
          <w:bCs/>
          <w:sz w:val="20"/>
          <w:szCs w:val="20"/>
        </w:rPr>
      </w:r>
    </w:p>
    <w:sectPr>
      <w:footerReference w:type="default" r:id="rId6"/>
      <w:type w:val="nextPage"/>
      <w:pgSz w:w="11906" w:h="16838"/>
      <w:pgMar w:left="851" w:right="1008" w:gutter="0" w:header="0" w:top="540" w:footer="1109" w:bottom="12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ee"/>
    <w:family w:val="swiss"/>
    <w:pitch w:val="variable"/>
  </w:font>
  <w:font w:name="Liberation Sans">
    <w:altName w:val="Arial"/>
    <w:charset w:val="00"/>
    <w:family w:val="swiss"/>
    <w:pitch w:val="variable"/>
  </w:font>
  <w:font w:name="Courier New">
    <w:charset w:val="0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76835" cy="175260"/>
              <wp:effectExtent l="0" t="0" r="0" b="0"/>
              <wp:wrapSquare wrapText="bothSides"/>
              <wp:docPr id="5"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96.3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widowControl w:val="false"/>
      <w:numPr>
        <w:ilvl w:val="0"/>
        <w:numId w:val="1"/>
      </w:numPr>
      <w:suppressAutoHyphens w:val="true"/>
      <w:jc w:val="both"/>
      <w:outlineLvl w:val="0"/>
    </w:pPr>
    <w:rPr>
      <w:rFonts w:eastAsia="Lucida Sans Unicode" w:cs="Tahoma"/>
      <w:b/>
      <w:bCs/>
      <w:kern w:val="2"/>
      <w:lang w:val="ro-RO"/>
    </w:rPr>
  </w:style>
  <w:style w:type="paragraph" w:styleId="Heading2">
    <w:name w:val="heading 2"/>
    <w:basedOn w:val="Normal"/>
    <w:next w:val="Normal"/>
    <w:qFormat/>
    <w:pPr>
      <w:keepNext w:val="true"/>
      <w:numPr>
        <w:ilvl w:val="1"/>
        <w:numId w:val="1"/>
      </w:numPr>
      <w:ind w:firstLine="15" w:left="0" w:right="0"/>
      <w:jc w:val="center"/>
      <w:outlineLvl w:val="1"/>
    </w:pPr>
    <w:rPr>
      <w:rFonts w:ascii="Arial" w:hAnsi="Arial" w:cs="Arial"/>
      <w:b/>
      <w:bCs/>
      <w:sz w:val="22"/>
      <w:u w:val="single"/>
    </w:rPr>
  </w:style>
  <w:style w:type="paragraph" w:styleId="Heading3">
    <w:name w:val="heading 3"/>
    <w:basedOn w:val="Normal"/>
    <w:next w:val="Normal"/>
    <w:qFormat/>
    <w:pPr>
      <w:keepNext w:val="true"/>
      <w:numPr>
        <w:ilvl w:val="2"/>
        <w:numId w:val="1"/>
      </w:numPr>
      <w:jc w:val="center"/>
      <w:outlineLvl w:val="2"/>
    </w:pPr>
    <w:rPr>
      <w:rFonts w:ascii="Arial" w:hAnsi="Arial" w:cs="Arial"/>
      <w:b/>
      <w:bCs/>
      <w:sz w:val="22"/>
      <w:u w:val="single"/>
    </w:rPr>
  </w:style>
  <w:style w:type="paragraph" w:styleId="Heading4">
    <w:name w:val="heading 4"/>
    <w:basedOn w:val="Normal"/>
    <w:next w:val="Normal"/>
    <w:qFormat/>
    <w:pPr>
      <w:keepNext w:val="true"/>
      <w:numPr>
        <w:ilvl w:val="3"/>
        <w:numId w:val="1"/>
      </w:numPr>
      <w:outlineLvl w:val="3"/>
    </w:pPr>
    <w:rPr>
      <w:rFonts w:ascii="Arial" w:hAnsi="Arial" w:cs="Arial"/>
      <w:b/>
      <w:bCs/>
      <w:i/>
      <w:iCs/>
      <w:sz w:val="22"/>
      <w:u w:val="single"/>
    </w:rPr>
  </w:style>
  <w:style w:type="character" w:styleId="WW8Num1z0">
    <w:name w:val="WW8Num1z0"/>
    <w:qFormat/>
    <w:rPr>
      <w:rFonts w:ascii="Symbol" w:hAnsi="Symbol" w:cs="StarSymbol;Times New Roman"/>
      <w:sz w:val="18"/>
      <w:szCs w:val="18"/>
    </w:rPr>
  </w:style>
  <w:style w:type="character" w:styleId="WW8Num2z0">
    <w:name w:val="WW8Num2z0"/>
    <w:qFormat/>
    <w:rPr>
      <w:rFonts w:ascii="Symbol" w:hAnsi="Symbol" w:cs="Times New Roman"/>
    </w:rPr>
  </w:style>
  <w:style w:type="character" w:styleId="WW8Num3z0">
    <w:name w:val="WW8Num3z0"/>
    <w:qFormat/>
    <w:rPr>
      <w:rFonts w:ascii="Symbol" w:hAnsi="Symbol" w:cs="StarSymbol;Times New Roman"/>
      <w:sz w:val="18"/>
      <w:szCs w:val="18"/>
    </w:rPr>
  </w:style>
  <w:style w:type="character" w:styleId="WW8Num4z0">
    <w:name w:val="WW8Num4z0"/>
    <w:qFormat/>
    <w:rPr>
      <w:rFonts w:ascii="Symbol" w:hAnsi="Symbol" w:cs="StarSymbol;Times New Roman"/>
      <w:sz w:val="18"/>
      <w:szCs w:val="18"/>
    </w:rPr>
  </w:style>
  <w:style w:type="character" w:styleId="WW8Num13z0">
    <w:name w:val="WW8Num13z0"/>
    <w:qFormat/>
    <w:rPr>
      <w:rFonts w:ascii="Symbol" w:hAnsi="Symbol" w:cs="StarSymbol;Times New Roman"/>
      <w:sz w:val="18"/>
      <w:szCs w:val="18"/>
    </w:rPr>
  </w:style>
  <w:style w:type="character" w:styleId="WW8Num14z0">
    <w:name w:val="WW8Num14z0"/>
    <w:qFormat/>
    <w:rPr>
      <w:rFonts w:ascii="Symbol" w:hAnsi="Symbol" w:cs="StarSymbol;Times New Roman"/>
      <w:sz w:val="18"/>
      <w:szCs w:val="18"/>
    </w:rPr>
  </w:style>
  <w:style w:type="character" w:styleId="WW8Num15z0">
    <w:name w:val="WW8Num15z0"/>
    <w:qFormat/>
    <w:rPr>
      <w:rFonts w:ascii="Symbol" w:hAnsi="Symbol" w:cs="StarSymbol;Times New Roman"/>
      <w:sz w:val="18"/>
      <w:szCs w:val="18"/>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b/>
      <w:bCs/>
    </w:rPr>
  </w:style>
  <w:style w:type="character" w:styleId="WW8Num21z0">
    <w:name w:val="WW8Num21z0"/>
    <w:qFormat/>
    <w:rPr>
      <w:rFonts w:ascii="Times New Roman" w:hAnsi="Times New Roman" w:eastAsia="Times New Roman" w:cs="Times New Roman"/>
    </w:rPr>
  </w:style>
  <w:style w:type="character" w:styleId="WW8Num22z0">
    <w:name w:val="WW8Num22z0"/>
    <w:qFormat/>
    <w:rPr>
      <w:b/>
      <w:bCs/>
    </w:rPr>
  </w:style>
  <w:style w:type="character" w:styleId="Fontdeparagrafimplicit">
    <w:name w:val="Font de paragraf implici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Fontdeparagrafimplicit"/>
    <w:rPr/>
  </w:style>
  <w:style w:type="character" w:styleId="TextnBalonCaracter">
    <w:name w:val="Text în Balon Caracter"/>
    <w:qFormat/>
    <w:rPr>
      <w:rFonts w:ascii="Segoe UI" w:hAnsi="Segoe UI" w:cs="Segoe UI"/>
      <w:sz w:val="18"/>
      <w:szCs w:val="18"/>
      <w:lang w:val="en-US"/>
    </w:rPr>
  </w:style>
  <w:style w:type="character" w:styleId="Titlu1Caracter">
    <w:name w:val="Titlu 1 Caracter"/>
    <w:qFormat/>
    <w:rPr>
      <w:rFonts w:eastAsia="Lucida Sans Unicode" w:cs="Tahoma"/>
      <w:b/>
      <w:bCs/>
      <w:kern w:val="2"/>
      <w:sz w:val="24"/>
      <w:szCs w:val="24"/>
    </w:rPr>
  </w:style>
  <w:style w:type="character" w:styleId="IndentcorptextCaracter">
    <w:name w:val="Indent corp text Caracter"/>
    <w:qFormat/>
    <w:rPr>
      <w:rFonts w:eastAsia="Lucida Sans Unicode" w:cs="Tahoma"/>
      <w:kern w:val="2"/>
      <w:sz w:val="24"/>
      <w:szCs w:val="24"/>
    </w:rPr>
  </w:style>
  <w:style w:type="character" w:styleId="Indentcorptext3Caracter">
    <w:name w:val="Indent corp text 3 Caracter"/>
    <w:qFormat/>
    <w:rPr>
      <w:rFonts w:ascii="Arial" w:hAnsi="Arial" w:cs="Arial"/>
      <w:sz w:val="22"/>
      <w:szCs w:val="24"/>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widowControl w:val="false"/>
      <w:suppressAutoHyphens w:val="true"/>
      <w:spacing w:before="0" w:after="120"/>
    </w:pPr>
    <w:rPr>
      <w:rFonts w:eastAsia="Lucida Sans Unicode" w:cs="Tahoma"/>
      <w:kern w:val="2"/>
      <w:lang w:val="ro-RO"/>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
    <w:name w:val="Body Text Indent"/>
    <w:basedOn w:val="Normal"/>
    <w:pPr>
      <w:widowControl w:val="false"/>
      <w:suppressAutoHyphens w:val="true"/>
      <w:overflowPunct w:val="false"/>
      <w:autoSpaceDE w:val="false"/>
      <w:ind w:firstLine="720" w:left="0" w:right="0"/>
      <w:textAlignment w:val="baseline"/>
    </w:pPr>
    <w:rPr>
      <w:rFonts w:eastAsia="Lucida Sans Unicode" w:cs="Tahoma"/>
      <w:kern w:val="2"/>
      <w:lang w:val="ro-RO"/>
    </w:rPr>
  </w:style>
  <w:style w:type="paragraph" w:styleId="Tblzattartalom">
    <w:name w:val="Táblázattartalom"/>
    <w:basedOn w:val="Normal"/>
    <w:qFormat/>
    <w:pPr>
      <w:widowControl w:val="false"/>
      <w:suppressLineNumbers/>
      <w:suppressAutoHyphens w:val="true"/>
    </w:pPr>
    <w:rPr>
      <w:rFonts w:eastAsia="Lucida Sans Unicode" w:cs="Tahoma"/>
      <w:kern w:val="2"/>
      <w:lang w:val="ro-RO"/>
    </w:rPr>
  </w:style>
  <w:style w:type="paragraph" w:styleId="Elformzottszveg">
    <w:name w:val="Előformázott szöveg"/>
    <w:basedOn w:val="Normal"/>
    <w:qFormat/>
    <w:pPr>
      <w:widowControl w:val="false"/>
      <w:suppressAutoHyphens w:val="true"/>
    </w:pPr>
    <w:rPr>
      <w:rFonts w:ascii="Courier New" w:hAnsi="Courier New" w:eastAsia="Courier New" w:cs="Courier New"/>
      <w:kern w:val="2"/>
      <w:sz w:val="20"/>
      <w:szCs w:val="20"/>
      <w:lang w:val="ro-RO"/>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widowControl w:val="false"/>
      <w:suppressLineNumbers/>
      <w:tabs>
        <w:tab w:val="clear" w:pos="720"/>
        <w:tab w:val="center" w:pos="4818" w:leader="none"/>
        <w:tab w:val="right" w:pos="9637" w:leader="none"/>
      </w:tabs>
      <w:suppressAutoHyphens w:val="true"/>
    </w:pPr>
    <w:rPr>
      <w:rFonts w:eastAsia="Lucida Sans Unicode" w:cs="Tahoma"/>
      <w:kern w:val="2"/>
      <w:lang w:val="ro-RO"/>
    </w:rPr>
  </w:style>
  <w:style w:type="paragraph" w:styleId="Indentcorptext2">
    <w:name w:val="Indent corp text 2"/>
    <w:basedOn w:val="Normal"/>
    <w:qFormat/>
    <w:pPr>
      <w:ind w:firstLine="720" w:left="0" w:right="0"/>
    </w:pPr>
    <w:rPr>
      <w:rFonts w:ascii="Arial" w:hAnsi="Arial" w:cs="Arial"/>
      <w:sz w:val="22"/>
      <w:lang w:val="ro-RO"/>
    </w:rPr>
  </w:style>
  <w:style w:type="paragraph" w:styleId="Indentcorptext3">
    <w:name w:val="Indent corp text 3"/>
    <w:basedOn w:val="Normal"/>
    <w:qFormat/>
    <w:pPr>
      <w:ind w:firstLine="720" w:left="0" w:right="0"/>
      <w:jc w:val="both"/>
    </w:pPr>
    <w:rPr>
      <w:rFonts w:ascii="Arial" w:hAnsi="Arial" w:cs="Arial"/>
      <w:sz w:val="22"/>
      <w:lang w:val="ro-RO"/>
    </w:rPr>
  </w:style>
  <w:style w:type="paragraph" w:styleId="Header">
    <w:name w:val="header"/>
    <w:basedOn w:val="Normal"/>
    <w:pPr>
      <w:tabs>
        <w:tab w:val="clear" w:pos="720"/>
        <w:tab w:val="center" w:pos="4153" w:leader="none"/>
        <w:tab w:val="right" w:pos="8306" w:leader="none"/>
      </w:tabs>
    </w:pPr>
    <w:rPr>
      <w:lang w:val="en-GB"/>
    </w:rPr>
  </w:style>
  <w:style w:type="paragraph" w:styleId="Standard">
    <w:name w:val="Standard"/>
    <w:qFormat/>
    <w:pPr>
      <w:widowControl w:val="false"/>
      <w:suppressAutoHyphens w:val="true"/>
      <w:bidi w:val="0"/>
      <w:textAlignment w:val="baseline"/>
    </w:pPr>
    <w:rPr>
      <w:rFonts w:ascii="Times New Roman" w:hAnsi="Times New Roman" w:eastAsia="Lucida Sans Unicode" w:cs="Tahoma"/>
      <w:color w:val="auto"/>
      <w:kern w:val="2"/>
      <w:sz w:val="24"/>
      <w:szCs w:val="24"/>
      <w:lang w:val="en-US" w:bidi="en-US" w:eastAsia="zh-CN"/>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ro-RO" w:bidi="ar-SA" w:eastAsia="zh-CN"/>
    </w:rPr>
  </w:style>
  <w:style w:type="paragraph" w:styleId="TextnBalon">
    <w:name w:val="Text în Balon"/>
    <w:basedOn w:val="Normal"/>
    <w:qFormat/>
    <w:pPr/>
    <w:rPr>
      <w:rFonts w:ascii="Segoe UI" w:hAnsi="Segoe UI" w:cs="Segoe UI"/>
      <w:sz w:val="18"/>
      <w:szCs w:val="18"/>
    </w:rPr>
  </w:style>
  <w:style w:type="paragraph" w:styleId="Textbody">
    <w:name w:val="Text body"/>
    <w:basedOn w:val="Standard"/>
    <w:qFormat/>
    <w:pPr>
      <w:spacing w:before="0" w:after="283"/>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www.agrotex.ro/" TargetMode="External"/><Relationship Id="rId5" Type="http://schemas.openxmlformats.org/officeDocument/2006/relationships/hyperlink" Target="mailto:secretariat@agrotex.ro"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2026-06-18T13:01:00Z</dcterms:created>
  <dc:creator>Juridic</dc:creator>
  <dc:description/>
  <cp:keywords/>
  <dc:language>en-US</dc:language>
  <cp:lastModifiedBy>Bea</cp:lastModifiedBy>
  <cp:lastPrinted>2023-09-18T09:21:00Z</cp:lastPrinted>
  <dcterms:modified xsi:type="dcterms:W3CDTF">2026-06-18T13:01:00Z</dcterms:modified>
  <cp:revision>2</cp:revision>
  <dc:subject/>
  <dc:title>S</dc:title>
</cp:coreProperties>
</file>