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120"/>
        <w:jc w:val="center"/>
      </w:pPr>
      <w:r>
        <w:rPr>
          <w:b/>
          <w:bCs/>
          <w:color w:val="2E7D6B"/>
          <w:sz w:val="22"/>
          <w:szCs w:val="22"/>
        </w:rPr>
        <w:t xml:space="preserve">TECHNISCHES KONZEPTPAPIER</w:t>
      </w:r>
    </w:p>
    <w:p>
      <w:pPr>
        <w:spacing w:after="200"/>
        <w:jc w:val="center"/>
      </w:pPr>
      <w:r>
        <w:rPr>
          <w:b/>
          <w:bCs/>
          <w:color w:val="1F4E5F"/>
          <w:sz w:val="64"/>
          <w:szCs w:val="64"/>
        </w:rPr>
        <w:t xml:space="preserve">CONTINUUM</w:t>
      </w:r>
    </w:p>
    <w:p>
      <w:pPr>
        <w:spacing w:after="500"/>
        <w:jc w:val="center"/>
      </w:pPr>
      <w:r>
        <w:rPr>
          <w:i/>
          <w:iCs/>
          <w:color w:val="595959"/>
          <w:sz w:val="26"/>
          <w:szCs w:val="26"/>
        </w:rPr>
        <w:t xml:space="preserve">Ein kontinuierlich lernendes autonomes Forschungssystem als Antwort auf den zentralen ungelösten Engpass heutiger KI</w:t>
      </w:r>
    </w:p>
    <w:p>
      <w:pPr>
        <w:spacing w:after="80"/>
        <w:jc w:val="center"/>
      </w:pPr>
      <w:r>
        <w:rPr>
          <w:color w:val="595959"/>
          <w:sz w:val="20"/>
          <w:szCs w:val="20"/>
        </w:rPr>
        <w:t xml:space="preserve">Flagship-Instanziierung: Autonome Entdeckung neuer Materialien (Festkörper-Batterieelektrolyte)</w:t>
      </w:r>
    </w:p>
    <w:p>
      <w:pPr>
        <w:spacing w:after="1400"/>
        <w:jc w:val="center"/>
      </w:pPr>
      <w:r>
        <w:rPr>
          <w:color w:val="595959"/>
          <w:sz w:val="20"/>
          <w:szCs w:val="20"/>
        </w:rPr>
        <w:t xml:space="preserve">Architektur domänen-agnostisch angelegt und auf weitere Felder übertragbar (Kapitel 8)</w:t>
      </w:r>
    </w:p>
    <w:p>
      <w:pPr>
        <w:spacing w:after="40"/>
        <w:jc w:val="center"/>
      </w:pPr>
      <w:r>
        <w:rPr>
          <w:sz w:val="20"/>
          <w:szCs w:val="20"/>
        </w:rPr>
        <w:t xml:space="preserve">Erstellt für Sebastian Renker</w:t>
      </w:r>
    </w:p>
    <w:p>
      <w:pPr>
        <w:jc w:val="center"/>
      </w:pPr>
      <w:r>
        <w:rPr>
          <w:color w:val="595959"/>
          <w:sz w:val="20"/>
          <w:szCs w:val="20"/>
        </w:rPr>
        <w:t xml:space="preserve">7. August 2026 · Version 1.0</w:t>
      </w:r>
    </w:p>
    <w:p>
      <w:r>
        <w:br w:type="page"/>
      </w:r>
    </w:p>
    <w:p>
      <w:pPr>
        <w:pStyle w:val="Heading1"/>
      </w:pPr>
      <w:r>
        <w:t xml:space="preserve">Inhaltsverzeichnis</w:t>
      </w:r>
    </w:p>
    <w:p>
      <w:pPr>
        <w:tabs>
          <w:tab w:val="right" w:pos="9350" w:leader="dot"/>
        </w:tabs>
        <w:spacing w:after="160"/>
      </w:pPr>
      <w:r>
        <w:rPr>
          <w:b/>
          <w:bCs/>
          <w:sz w:val="22"/>
          <w:szCs w:val="22"/>
        </w:rPr>
        <w:t xml:space="preserve">1. Executive Summary</w:t>
      </w:r>
      <w:r>
        <w:rPr>
          <w:sz w:val="22"/>
          <w:szCs w:val="22"/>
        </w:rPr>
        <w:tab/>
      </w:r>
      <w:r>
        <w:rPr>
          <w:b/>
          <w:bCs/>
          <w:sz w:val="22"/>
          <w:szCs w:val="22"/>
        </w:rPr>
        <w:t xml:space="preserve">3</w:t>
      </w:r>
    </w:p>
    <w:p>
      <w:pPr>
        <w:tabs>
          <w:tab w:val="right" w:pos="9350" w:leader="dot"/>
        </w:tabs>
        <w:spacing w:after="160"/>
      </w:pPr>
      <w:r>
        <w:rPr>
          <w:b/>
          <w:bCs/>
          <w:sz w:val="22"/>
          <w:szCs w:val="22"/>
        </w:rPr>
        <w:t xml:space="preserve">2. Ausgangslage: der zentrale ungelöste Engpass</w:t>
      </w:r>
      <w:r>
        <w:rPr>
          <w:sz w:val="22"/>
          <w:szCs w:val="22"/>
        </w:rPr>
        <w:tab/>
      </w:r>
      <w:r>
        <w:rPr>
          <w:b/>
          <w:bCs/>
          <w:sz w:val="22"/>
          <w:szCs w:val="22"/>
        </w:rPr>
        <w:t xml:space="preserve">4</w:t>
      </w:r>
    </w:p>
    <w:p>
      <w:pPr>
        <w:tabs>
          <w:tab w:val="right" w:pos="9350" w:leader="dot"/>
        </w:tabs>
        <w:spacing w:after="100"/>
      </w:pPr>
      <w:r>
        <w:rPr>
          <w:b w:val="false"/>
          <w:bCs w:val="false"/>
          <w:sz w:val="21"/>
          <w:szCs w:val="21"/>
        </w:rPr>
        <w:t xml:space="preserve">2.1 Die „Amnesie“ heutiger KI-Systeme</w:t>
      </w:r>
      <w:r>
        <w:rPr>
          <w:sz w:val="21"/>
          <w:szCs w:val="21"/>
        </w:rPr>
        <w:tab/>
      </w:r>
      <w:r>
        <w:rPr>
          <w:b w:val="false"/>
          <w:bCs w:val="false"/>
          <w:sz w:val="21"/>
          <w:szCs w:val="21"/>
        </w:rPr>
        <w:t xml:space="preserve">4</w:t>
      </w:r>
    </w:p>
    <w:p>
      <w:pPr>
        <w:tabs>
          <w:tab w:val="right" w:pos="9350" w:leader="dot"/>
        </w:tabs>
        <w:spacing w:after="100"/>
      </w:pPr>
      <w:r>
        <w:rPr>
          <w:b w:val="false"/>
          <w:bCs w:val="false"/>
          <w:sz w:val="21"/>
          <w:szCs w:val="21"/>
        </w:rPr>
        <w:t xml:space="preserve">2.2 Fehlendes intuitives Weltverständnis</w:t>
      </w:r>
      <w:r>
        <w:rPr>
          <w:sz w:val="21"/>
          <w:szCs w:val="21"/>
        </w:rPr>
        <w:tab/>
      </w:r>
      <w:r>
        <w:rPr>
          <w:b w:val="false"/>
          <w:bCs w:val="false"/>
          <w:sz w:val="21"/>
          <w:szCs w:val="21"/>
        </w:rPr>
        <w:t xml:space="preserve">4</w:t>
      </w:r>
    </w:p>
    <w:p>
      <w:pPr>
        <w:tabs>
          <w:tab w:val="right" w:pos="9350" w:leader="dot"/>
        </w:tabs>
        <w:spacing w:after="100"/>
      </w:pPr>
      <w:r>
        <w:rPr>
          <w:b w:val="false"/>
          <w:bCs w:val="false"/>
          <w:sz w:val="21"/>
          <w:szCs w:val="21"/>
        </w:rPr>
        <w:t xml:space="preserve">2.3 Unzuverlässigkeit durch Halluzination</w:t>
      </w:r>
      <w:r>
        <w:rPr>
          <w:sz w:val="21"/>
          <w:szCs w:val="21"/>
        </w:rPr>
        <w:tab/>
      </w:r>
      <w:r>
        <w:rPr>
          <w:b w:val="false"/>
          <w:bCs w:val="false"/>
          <w:sz w:val="21"/>
          <w:szCs w:val="21"/>
        </w:rPr>
        <w:t xml:space="preserve">4</w:t>
      </w:r>
    </w:p>
    <w:p>
      <w:pPr>
        <w:tabs>
          <w:tab w:val="right" w:pos="9350" w:leader="dot"/>
        </w:tabs>
        <w:spacing w:after="100"/>
      </w:pPr>
      <w:r>
        <w:rPr>
          <w:b w:val="false"/>
          <w:bCs w:val="false"/>
          <w:sz w:val="21"/>
          <w:szCs w:val="21"/>
        </w:rPr>
        <w:t xml:space="preserve">2.4 Warum die Kombination dieser drei Lücken der Hebel ist</w:t>
      </w:r>
      <w:r>
        <w:rPr>
          <w:sz w:val="21"/>
          <w:szCs w:val="21"/>
        </w:rPr>
        <w:tab/>
      </w:r>
      <w:r>
        <w:rPr>
          <w:b w:val="false"/>
          <w:bCs w:val="false"/>
          <w:sz w:val="21"/>
          <w:szCs w:val="21"/>
        </w:rPr>
        <w:t xml:space="preserve">4</w:t>
      </w:r>
    </w:p>
    <w:p>
      <w:pPr>
        <w:tabs>
          <w:tab w:val="right" w:pos="9350" w:leader="dot"/>
        </w:tabs>
        <w:spacing w:after="160"/>
      </w:pPr>
      <w:r>
        <w:rPr>
          <w:b/>
          <w:bCs/>
          <w:sz w:val="22"/>
          <w:szCs w:val="22"/>
        </w:rPr>
        <w:t xml:space="preserve">3. Designprinzipien</w:t>
      </w:r>
      <w:r>
        <w:rPr>
          <w:sz w:val="22"/>
          <w:szCs w:val="22"/>
        </w:rPr>
        <w:tab/>
      </w:r>
      <w:r>
        <w:rPr>
          <w:b/>
          <w:bCs/>
          <w:sz w:val="22"/>
          <w:szCs w:val="22"/>
        </w:rPr>
        <w:t xml:space="preserve">5</w:t>
      </w:r>
    </w:p>
    <w:p>
      <w:pPr>
        <w:tabs>
          <w:tab w:val="right" w:pos="9350" w:leader="dot"/>
        </w:tabs>
        <w:spacing w:after="160"/>
      </w:pPr>
      <w:r>
        <w:rPr>
          <w:b/>
          <w:bCs/>
          <w:sz w:val="22"/>
          <w:szCs w:val="22"/>
        </w:rPr>
        <w:t xml:space="preserve">4. Systemüberblick</w:t>
      </w:r>
      <w:r>
        <w:rPr>
          <w:sz w:val="22"/>
          <w:szCs w:val="22"/>
        </w:rPr>
        <w:tab/>
      </w:r>
      <w:r>
        <w:rPr>
          <w:b/>
          <w:bCs/>
          <w:sz w:val="22"/>
          <w:szCs w:val="22"/>
        </w:rPr>
        <w:t xml:space="preserve">6</w:t>
      </w:r>
    </w:p>
    <w:p>
      <w:pPr>
        <w:tabs>
          <w:tab w:val="right" w:pos="9350" w:leader="dot"/>
        </w:tabs>
        <w:spacing w:after="100"/>
      </w:pPr>
      <w:r>
        <w:rPr>
          <w:b w:val="false"/>
          <w:bCs w:val="false"/>
          <w:sz w:val="21"/>
          <w:szCs w:val="21"/>
        </w:rPr>
        <w:t xml:space="preserve">4.1 Warum Materialforschung als Flagship-Domäne</w:t>
      </w:r>
      <w:r>
        <w:rPr>
          <w:sz w:val="21"/>
          <w:szCs w:val="21"/>
        </w:rPr>
        <w:tab/>
      </w:r>
      <w:r>
        <w:rPr>
          <w:b w:val="false"/>
          <w:bCs w:val="false"/>
          <w:sz w:val="21"/>
          <w:szCs w:val="21"/>
        </w:rPr>
        <w:t xml:space="preserve">6</w:t>
      </w:r>
    </w:p>
    <w:p>
      <w:pPr>
        <w:tabs>
          <w:tab w:val="right" w:pos="9350" w:leader="dot"/>
        </w:tabs>
        <w:spacing w:after="100"/>
      </w:pPr>
      <w:r>
        <w:rPr>
          <w:b w:val="false"/>
          <w:bCs w:val="false"/>
          <w:sz w:val="21"/>
          <w:szCs w:val="21"/>
        </w:rPr>
        <w:t xml:space="preserve">4.2 Der geschlossene Regelkreis</w:t>
      </w:r>
      <w:r>
        <w:rPr>
          <w:sz w:val="21"/>
          <w:szCs w:val="21"/>
        </w:rPr>
        <w:tab/>
      </w:r>
      <w:r>
        <w:rPr>
          <w:b w:val="false"/>
          <w:bCs w:val="false"/>
          <w:sz w:val="21"/>
          <w:szCs w:val="21"/>
        </w:rPr>
        <w:t xml:space="preserve">6</w:t>
      </w:r>
    </w:p>
    <w:p>
      <w:pPr>
        <w:tabs>
          <w:tab w:val="right" w:pos="9350" w:leader="dot"/>
        </w:tabs>
        <w:spacing w:after="160"/>
      </w:pPr>
      <w:r>
        <w:rPr>
          <w:b/>
          <w:bCs/>
          <w:sz w:val="22"/>
          <w:szCs w:val="22"/>
        </w:rPr>
        <w:t xml:space="preserve">5. Komponentenarchitektur im Detail</w:t>
      </w:r>
      <w:r>
        <w:rPr>
          <w:sz w:val="22"/>
          <w:szCs w:val="22"/>
        </w:rPr>
        <w:tab/>
      </w:r>
      <w:r>
        <w:rPr>
          <w:b/>
          <w:bCs/>
          <w:sz w:val="22"/>
          <w:szCs w:val="22"/>
        </w:rPr>
        <w:t xml:space="preserve">7</w:t>
      </w:r>
    </w:p>
    <w:p>
      <w:pPr>
        <w:tabs>
          <w:tab w:val="right" w:pos="9350" w:leader="dot"/>
        </w:tabs>
        <w:spacing w:after="100"/>
      </w:pPr>
      <w:r>
        <w:rPr>
          <w:b w:val="false"/>
          <w:bCs w:val="false"/>
          <w:sz w:val="21"/>
          <w:szCs w:val="21"/>
        </w:rPr>
        <w:t xml:space="preserve">5.1 Wahrnehmungs- und Weltmodell-Schicht</w:t>
      </w:r>
      <w:r>
        <w:rPr>
          <w:sz w:val="21"/>
          <w:szCs w:val="21"/>
        </w:rPr>
        <w:tab/>
      </w:r>
      <w:r>
        <w:rPr>
          <w:b w:val="false"/>
          <w:bCs w:val="false"/>
          <w:sz w:val="21"/>
          <w:szCs w:val="21"/>
        </w:rPr>
        <w:t xml:space="preserve">7</w:t>
      </w:r>
    </w:p>
    <w:p>
      <w:pPr>
        <w:tabs>
          <w:tab w:val="right" w:pos="9350" w:leader="dot"/>
        </w:tabs>
        <w:spacing w:after="100"/>
      </w:pPr>
      <w:r>
        <w:rPr>
          <w:b w:val="false"/>
          <w:bCs w:val="false"/>
          <w:sz w:val="21"/>
          <w:szCs w:val="21"/>
        </w:rPr>
        <w:t xml:space="preserve">5.2 Gedächtnissystem</w:t>
      </w:r>
      <w:r>
        <w:rPr>
          <w:sz w:val="21"/>
          <w:szCs w:val="21"/>
        </w:rPr>
        <w:tab/>
      </w:r>
      <w:r>
        <w:rPr>
          <w:b w:val="false"/>
          <w:bCs w:val="false"/>
          <w:sz w:val="21"/>
          <w:szCs w:val="21"/>
        </w:rPr>
        <w:t xml:space="preserve">7</w:t>
      </w:r>
    </w:p>
    <w:p>
      <w:pPr>
        <w:tabs>
          <w:tab w:val="right" w:pos="9350" w:leader="dot"/>
        </w:tabs>
        <w:spacing w:after="100"/>
      </w:pPr>
      <w:r>
        <w:rPr>
          <w:b w:val="false"/>
          <w:bCs w:val="false"/>
          <w:sz w:val="21"/>
          <w:szCs w:val="21"/>
        </w:rPr>
        <w:t xml:space="preserve">5.3 Kontinuierliches Lernsystem</w:t>
      </w:r>
      <w:r>
        <w:rPr>
          <w:sz w:val="21"/>
          <w:szCs w:val="21"/>
        </w:rPr>
        <w:tab/>
      </w:r>
      <w:r>
        <w:rPr>
          <w:b w:val="false"/>
          <w:bCs w:val="false"/>
          <w:sz w:val="21"/>
          <w:szCs w:val="21"/>
        </w:rPr>
        <w:t xml:space="preserve">7</w:t>
      </w:r>
    </w:p>
    <w:p>
      <w:pPr>
        <w:tabs>
          <w:tab w:val="right" w:pos="9350" w:leader="dot"/>
        </w:tabs>
        <w:spacing w:after="100"/>
      </w:pPr>
      <w:r>
        <w:rPr>
          <w:b w:val="false"/>
          <w:bCs w:val="false"/>
          <w:sz w:val="21"/>
          <w:szCs w:val="21"/>
        </w:rPr>
        <w:t xml:space="preserve">5.4 Hypothesengenerierung &amp; Multi-Agenten-Team</w:t>
      </w:r>
      <w:r>
        <w:rPr>
          <w:sz w:val="21"/>
          <w:szCs w:val="21"/>
        </w:rPr>
        <w:tab/>
      </w:r>
      <w:r>
        <w:rPr>
          <w:b w:val="false"/>
          <w:bCs w:val="false"/>
          <w:sz w:val="21"/>
          <w:szCs w:val="21"/>
        </w:rPr>
        <w:t xml:space="preserve">8</w:t>
      </w:r>
    </w:p>
    <w:p>
      <w:pPr>
        <w:tabs>
          <w:tab w:val="right" w:pos="9350" w:leader="dot"/>
        </w:tabs>
        <w:spacing w:after="100"/>
      </w:pPr>
      <w:r>
        <w:rPr>
          <w:b w:val="false"/>
          <w:bCs w:val="false"/>
          <w:sz w:val="21"/>
          <w:szCs w:val="21"/>
        </w:rPr>
        <w:t xml:space="preserve">5.5 Robotische Ausführungsschicht (Self-Driving Lab)</w:t>
      </w:r>
      <w:r>
        <w:rPr>
          <w:sz w:val="21"/>
          <w:szCs w:val="21"/>
        </w:rPr>
        <w:tab/>
      </w:r>
      <w:r>
        <w:rPr>
          <w:b w:val="false"/>
          <w:bCs w:val="false"/>
          <w:sz w:val="21"/>
          <w:szCs w:val="21"/>
        </w:rPr>
        <w:t xml:space="preserve">9</w:t>
      </w:r>
    </w:p>
    <w:p>
      <w:pPr>
        <w:tabs>
          <w:tab w:val="right" w:pos="9350" w:leader="dot"/>
        </w:tabs>
        <w:spacing w:after="100"/>
      </w:pPr>
      <w:r>
        <w:rPr>
          <w:b w:val="false"/>
          <w:bCs w:val="false"/>
          <w:sz w:val="21"/>
          <w:szCs w:val="21"/>
        </w:rPr>
        <w:t xml:space="preserve">5.6 Verifikations- und Anti-Halluzinations-Schicht</w:t>
      </w:r>
      <w:r>
        <w:rPr>
          <w:sz w:val="21"/>
          <w:szCs w:val="21"/>
        </w:rPr>
        <w:tab/>
      </w:r>
      <w:r>
        <w:rPr>
          <w:b w:val="false"/>
          <w:bCs w:val="false"/>
          <w:sz w:val="21"/>
          <w:szCs w:val="21"/>
        </w:rPr>
        <w:t xml:space="preserve">9</w:t>
      </w:r>
    </w:p>
    <w:p>
      <w:pPr>
        <w:tabs>
          <w:tab w:val="right" w:pos="9350" w:leader="dot"/>
        </w:tabs>
        <w:spacing w:after="100"/>
      </w:pPr>
      <w:r>
        <w:rPr>
          <w:b w:val="false"/>
          <w:bCs w:val="false"/>
          <w:sz w:val="21"/>
          <w:szCs w:val="21"/>
        </w:rPr>
        <w:t xml:space="preserve">5.7 Sicherheits- und Governance-Schicht</w:t>
      </w:r>
      <w:r>
        <w:rPr>
          <w:sz w:val="21"/>
          <w:szCs w:val="21"/>
        </w:rPr>
        <w:tab/>
      </w:r>
      <w:r>
        <w:rPr>
          <w:b w:val="false"/>
          <w:bCs w:val="false"/>
          <w:sz w:val="21"/>
          <w:szCs w:val="21"/>
        </w:rPr>
        <w:t xml:space="preserve">9</w:t>
      </w:r>
    </w:p>
    <w:p>
      <w:pPr>
        <w:tabs>
          <w:tab w:val="right" w:pos="9350" w:leader="dot"/>
        </w:tabs>
        <w:spacing w:after="160"/>
      </w:pPr>
      <w:r>
        <w:rPr>
          <w:b/>
          <w:bCs/>
          <w:sz w:val="22"/>
          <w:szCs w:val="22"/>
        </w:rPr>
        <w:t xml:space="preserve">6. Evaluierung &amp; Metriken</w:t>
      </w:r>
      <w:r>
        <w:rPr>
          <w:sz w:val="22"/>
          <w:szCs w:val="22"/>
        </w:rPr>
        <w:tab/>
      </w:r>
      <w:r>
        <w:rPr>
          <w:b/>
          <w:bCs/>
          <w:sz w:val="22"/>
          <w:szCs w:val="22"/>
        </w:rPr>
        <w:t xml:space="preserve">10</w:t>
      </w:r>
    </w:p>
    <w:p>
      <w:pPr>
        <w:tabs>
          <w:tab w:val="right" w:pos="9350" w:leader="dot"/>
        </w:tabs>
        <w:spacing w:after="160"/>
      </w:pPr>
      <w:r>
        <w:rPr>
          <w:b/>
          <w:bCs/>
          <w:sz w:val="22"/>
          <w:szCs w:val="22"/>
        </w:rPr>
        <w:t xml:space="preserve">7. Generalisierung auf andere Domänen</w:t>
      </w:r>
      <w:r>
        <w:rPr>
          <w:sz w:val="22"/>
          <w:szCs w:val="22"/>
        </w:rPr>
        <w:tab/>
      </w:r>
      <w:r>
        <w:rPr>
          <w:b/>
          <w:bCs/>
          <w:sz w:val="22"/>
          <w:szCs w:val="22"/>
        </w:rPr>
        <w:t xml:space="preserve">11</w:t>
      </w:r>
    </w:p>
    <w:p>
      <w:pPr>
        <w:tabs>
          <w:tab w:val="right" w:pos="9350" w:leader="dot"/>
        </w:tabs>
        <w:spacing w:after="160"/>
      </w:pPr>
      <w:r>
        <w:rPr>
          <w:b/>
          <w:bCs/>
          <w:sz w:val="22"/>
          <w:szCs w:val="22"/>
        </w:rPr>
        <w:t xml:space="preserve">8. Implementierungs-Roadmap</w:t>
      </w:r>
      <w:r>
        <w:rPr>
          <w:sz w:val="22"/>
          <w:szCs w:val="22"/>
        </w:rPr>
        <w:tab/>
      </w:r>
      <w:r>
        <w:rPr>
          <w:b/>
          <w:bCs/>
          <w:sz w:val="22"/>
          <w:szCs w:val="22"/>
        </w:rPr>
        <w:t xml:space="preserve">12</w:t>
      </w:r>
    </w:p>
    <w:p>
      <w:pPr>
        <w:tabs>
          <w:tab w:val="right" w:pos="9350" w:leader="dot"/>
        </w:tabs>
        <w:spacing w:after="160"/>
      </w:pPr>
      <w:r>
        <w:rPr>
          <w:b/>
          <w:bCs/>
          <w:sz w:val="22"/>
          <w:szCs w:val="22"/>
        </w:rPr>
        <w:t xml:space="preserve">9. Risiken, Grenzen und offene Probleme</w:t>
      </w:r>
      <w:r>
        <w:rPr>
          <w:sz w:val="22"/>
          <w:szCs w:val="22"/>
        </w:rPr>
        <w:tab/>
      </w:r>
      <w:r>
        <w:rPr>
          <w:b/>
          <w:bCs/>
          <w:sz w:val="22"/>
          <w:szCs w:val="22"/>
        </w:rPr>
        <w:t xml:space="preserve">13</w:t>
      </w:r>
    </w:p>
    <w:p>
      <w:pPr>
        <w:tabs>
          <w:tab w:val="right" w:pos="9350" w:leader="dot"/>
        </w:tabs>
        <w:spacing w:after="160"/>
      </w:pPr>
      <w:r>
        <w:rPr>
          <w:b/>
          <w:bCs/>
          <w:sz w:val="22"/>
          <w:szCs w:val="22"/>
        </w:rPr>
        <w:t xml:space="preserve">10. Warum dies bahnbrechend für die menschliche Entwicklung wäre</w:t>
      </w:r>
      <w:r>
        <w:rPr>
          <w:sz w:val="22"/>
          <w:szCs w:val="22"/>
        </w:rPr>
        <w:tab/>
      </w:r>
      <w:r>
        <w:rPr>
          <w:b/>
          <w:bCs/>
          <w:sz w:val="22"/>
          <w:szCs w:val="22"/>
        </w:rPr>
        <w:t xml:space="preserve">14</w:t>
      </w:r>
    </w:p>
    <w:p>
      <w:pPr>
        <w:tabs>
          <w:tab w:val="right" w:pos="9350" w:leader="dot"/>
        </w:tabs>
        <w:spacing w:after="160"/>
      </w:pPr>
      <w:r>
        <w:rPr>
          <w:b/>
          <w:bCs/>
          <w:sz w:val="22"/>
          <w:szCs w:val="22"/>
        </w:rPr>
        <w:t xml:space="preserve">11. Quellen</w:t>
      </w:r>
      <w:r>
        <w:rPr>
          <w:sz w:val="22"/>
          <w:szCs w:val="22"/>
        </w:rPr>
        <w:tab/>
      </w:r>
      <w:r>
        <w:rPr>
          <w:b/>
          <w:bCs/>
          <w:sz w:val="22"/>
          <w:szCs w:val="22"/>
        </w:rPr>
        <w:t xml:space="preserve">15</w:t>
      </w:r>
    </w:p>
    <w:p>
      <w:r>
        <w:br w:type="page"/>
      </w:r>
    </w:p>
    <w:p>
      <w:pPr>
        <w:pStyle w:val="Heading1"/>
      </w:pPr>
      <w:r>
        <w:t xml:space="preserve">1. Executive Summary</w:t>
      </w:r>
    </w:p>
    <w:p>
      <w:pPr>
        <w:spacing w:after="200" w:line="288"/>
      </w:pPr>
      <w:r>
        <w:t xml:space="preserve">CONTINUUM ist der Entwurf eines KI-Forschungssystems, das gezielt die eine Fähigkeit adressiert, die aktuellen KI-Modellen nachweislich fehlt: echtes Weiterlernen aus Erfahrung über die Zeit. Aktuelle Analysen von Frontier-Modellen zeigen, dass kontinuierliches Lernen der einzige breite Fähigkeitsbereich ist, in dem selbst die leistungsfähigsten verfügbaren Modelle bei null Punkten liegen – Systeme, die innerhalb eines Gesprächs beeindrucken, aber mit jeder neuen Sitzung wieder bei null anfangen [1]. Alles, was heute als „Gedächtnis“ verkauft wird, ist angeflanschter Kontext, keine echte Weiterentwicklung des Modells selbst.</w:t>
      </w:r>
    </w:p>
    <w:p>
      <w:pPr>
        <w:spacing w:after="200" w:line="288"/>
      </w:pPr>
      <w:r>
        <w:t xml:space="preserve">Statt dieses Problem abstrakt zu lösen, schlägt dieses Konzept einen konkreten, technisch belastbaren Weg vor: ein System, das in einer eng abgegrenzten, aber wirtschaftlich und wissenschaftlich hochrelevanten Domäne – der autonomen Entdeckung neuer Materialien für Festkörperbatterien – über Monate und Jahre hinweg aus echten Laborergebnissen lernt, sein eigenes Wissen konsolidiert und dabei nachweisbar besser wird, ohne dabei bereits Gelerntes zu verlieren (das Problem des „katastrophalen Vergessens“).</w:t>
      </w:r>
    </w:p>
    <w:p>
      <w:pPr>
        <w:spacing w:after="200" w:line="288"/>
      </w:pPr>
      <w:r>
        <w:t xml:space="preserve">Die Architektur kombiniert vier Bausteine, die einzeln bereits erprobt sind, aber bisher nicht in dieser Form zu einem geschlossenen, sich selbst verbessernden System verbunden wurden: ein mehrschichtiges Gedächtnissystem (analog zu Arbeits-, episodischem, semantischem und prozeduralem Gedächtnis beim Menschen), eine „Drei-Geschwindigkeiten“-Lernarchitektur (sofortiges Kontext-Lernen, wöchentliches Feinjustieren über Adapter, quartalsweise Konsolidierung mit Vergessens-Schutz), eine mehrstufige Verifikationsschicht gegen Halluzination sowie eine physische Ausführungsschicht in Form eines robotischen Selbstfahrenden Labors.</w:t>
      </w:r>
    </w:p>
    <w:p>
      <w:pPr>
        <w:spacing w:after="200" w:line="288"/>
      </w:pPr>
      <w:r>
        <w:t xml:space="preserve">Das Kernargument: Wer den kontinuierlichen-Lern-Engpass auch nur in einer einzigen, eng kontrollierten Domäne nachweisbar schließt, liefert den Existenzbeweis, dass sich selbst verbessernde KI-Systeme technisch machbar sind – mit direkter Übertragbarkeit auf Medizin, Bildung und andere Felder mit gesellschaftlicher Tragweite (siehe Kapitel 8). Das ist der Grund, warum dieses Konzept, obwohl in einer Nischendomäne verankert, als potenziell bahnbrechend für die menschliche Entwicklung im weiteren Sinne gelten kann.</w:t>
      </w:r>
    </w:p>
    <w:tbl>
      <w:tblPr>
        <w:tblW w:type="pct" w:w="100%"/>
        <w:tblBorders>
          <w:top w:val="single" w:color="2E7D6B" w:sz="4"/>
          <w:left w:val="single" w:color="2E7D6B" w:sz="4"/>
          <w:bottom w:val="single" w:color="2E7D6B" w:sz="4"/>
          <w:right w:val="single" w:color="2E7D6B" w:sz="4"/>
          <w:insideH w:val="none"/>
          <w:insideV w:val="none"/>
        </w:tblBorders>
      </w:tblPr>
      <w:tblGrid>
        <w:gridCol w:w="100"/>
      </w:tblGrid>
      <w:tr>
        <w:tc>
          <w:tcPr>
            <w:shd w:fill="EEF3F2" w:val="clear"/>
            <w:tcMar>
              <w:top w:type="dxa" w:w="160"/>
              <w:left w:type="dxa" w:w="220"/>
              <w:bottom w:type="dxa" w:w="160"/>
              <w:right w:type="dxa" w:w="220"/>
            </w:tcMar>
          </w:tcPr>
          <w:p>
            <w:pPr>
              <w:spacing w:after="80"/>
            </w:pPr>
            <w:r>
              <w:rPr>
                <w:b/>
                <w:bCs/>
                <w:color w:val="1F4E5F"/>
              </w:rPr>
              <w:t xml:space="preserve">Kernthese</w:t>
            </w:r>
          </w:p>
          <w:p>
            <w:pPr>
              <w:spacing w:after="0" w:line="276"/>
            </w:pPr>
            <w:r>
              <w:rPr>
                <w:i/>
                <w:iCs/>
                <w:color w:val="595959"/>
              </w:rPr>
              <w:t xml:space="preserve">Nicht ein größeres Modell ist der nächste Durchbruch, sondern ein Modell, das sich selbst durch Erfahrung verändert – kontrolliert, nachvollziehbar und ohne zu vergessen, was es bereits kann.</w:t>
            </w:r>
          </w:p>
        </w:tc>
      </w:tr>
    </w:tbl>
    <w:p>
      <w:r>
        <w:br w:type="page"/>
      </w:r>
    </w:p>
    <w:p>
      <w:pPr>
        <w:pStyle w:val="Heading1"/>
      </w:pPr>
      <w:r>
        <w:t xml:space="preserve">2. Ausgangslage: der zentrale ungelöste Engpass</w:t>
      </w:r>
    </w:p>
    <w:p>
      <w:pPr>
        <w:spacing w:after="200" w:line="288"/>
      </w:pPr>
      <w:r>
        <w:t xml:space="preserve">Um ein „technisch perfektes“ Konzept zu formulieren, muss zuerst präzise benannt werden, welches Problem tatsächlich noch ungelöst ist – nicht, welches Problem sich gut als Pitch anhört. Drei empirisch belegte Lücken bilden das Fundament dieses Konzepts.</w:t>
      </w:r>
    </w:p>
    <w:p>
      <w:pPr>
        <w:pStyle w:val="Heading2"/>
      </w:pPr>
      <w:r>
        <w:t xml:space="preserve">2.1 Die „Amnesie“ heutiger KI-Systeme</w:t>
      </w:r>
    </w:p>
    <w:p>
      <w:pPr>
        <w:spacing w:after="200" w:line="288"/>
      </w:pPr>
      <w:r>
        <w:t xml:space="preserve">Nach dem AGI-Bewertungsrahmen von AI Frontiers (2026) erreichen aktuelle Modelle wie GPT-5 in einer breiten Fähigkeitsbewertung rund 57 %, brechen aber in genau einer Kategorie vollständig ein: kontinuierliches Lernen. Dort erzielen GPT-4 wie GPT-5 identisch null Punkte – der einzige Bereich, in dem laut den Autoren keine schrittweise Verbesserung, sondern ein grundlegender Durchbruch nötig ist [1]. Praktisch bedeutet das: Ein Modell kann in einem Gespräch brillant wirken, doch jede neue Sitzung beginnt bei null. Was heute als Personalisierung oder „Gedächtnis“ bezeichnet wird, ist in Wahrheit Retrieval über gespeicherten Text (RAG), nicht echtes Lernen des Modells selbst.</w:t>
      </w:r>
    </w:p>
    <w:p>
      <w:pPr>
        <w:pStyle w:val="Heading2"/>
      </w:pPr>
      <w:r>
        <w:t xml:space="preserve">2.2 Fehlendes intuitives Weltverständnis</w:t>
      </w:r>
    </w:p>
    <w:p>
      <w:pPr>
        <w:spacing w:after="200" w:line="288"/>
      </w:pPr>
      <w:r>
        <w:t xml:space="preserve">Ein zweiter, verwandter Engpass betrifft das Verständnis der physischen Welt. Auf dem IntPhys-2-Benchmark, der prüft, ob ein System einschätzen kann, ob ein beobachteter physikalischer Vorgang plausibel ist, liegen selbst die besten aktuellen Modelle nur knapp über Zufallsniveau [1]. Für ein System, das reale Experimente plant und physische Ausrüstung steuert, ist das eine zentrale Einschränkung: Es kann nicht einfach auf ein generelles „gesundes“ Weltverständnis vertrauen, sondern muss sich domänenspezifisch geerdetes Wissen antrainieren.</w:t>
      </w:r>
    </w:p>
    <w:p>
      <w:pPr>
        <w:pStyle w:val="Heading2"/>
      </w:pPr>
      <w:r>
        <w:t xml:space="preserve">2.3 Unzuverlässigkeit durch Halluzination</w:t>
      </w:r>
    </w:p>
    <w:p>
      <w:pPr>
        <w:spacing w:after="200" w:line="288"/>
      </w:pPr>
      <w:r>
        <w:t xml:space="preserve">Drittens bleibt Verlässlichkeit ein ungelöstes Problem: Selbst GPT-5 halluziniert bei über 30 % der Fragen im SimpleQA-Benchmark, wenn auch mit deutlichen Unterschieden zwischen Anbietern [1]. Für ein System, das autonome physische Experimente auslöst – jedes davon mit echten Kosten an Zeit, Material und unter Umständen Sicherheitsrisiko – ist unkontrollierte Selbstüberschätzung nicht tolerierbar.</w:t>
      </w:r>
    </w:p>
    <w:p>
      <w:pPr>
        <w:pStyle w:val="Heading2"/>
      </w:pPr>
      <w:r>
        <w:t xml:space="preserve">2.4 Warum die Kombination dieser drei Lücken der eigentliche Hebel ist</w:t>
      </w:r>
    </w:p>
    <w:p>
      <w:pPr>
        <w:spacing w:after="200" w:line="288"/>
      </w:pPr>
      <w:r>
        <w:t xml:space="preserve">Diese drei Lücken sind kein Zufall, sondern hängen zusammen: Ein System, das nicht aus eigener Erfahrung lernt, kann sein Weltverständnis nicht durch Beobachtung nachschärfen; ein System ohne geerdetes Weltverständnis kann seine eigenen Vorhersagen nicht zuverlässig kalibrieren; ein schlecht kalibriertes System halluziniert. CONTINUUM ist so entworfen, dass alle drei Lücken in einer einzigen Feedbackschleife gemeinsam adressiert werden, statt sie isoliert zu behandeln.</w:t>
      </w:r>
    </w:p>
    <w:p>
      <w:r>
        <w:br w:type="page"/>
      </w:r>
    </w:p>
    <w:p>
      <w:pPr>
        <w:pStyle w:val="Heading1"/>
      </w:pPr>
      <w:r>
        <w:t xml:space="preserve">3. Designprinzipien</w:t>
      </w:r>
    </w:p>
    <w:p>
      <w:pPr>
        <w:spacing w:after="200" w:line="288"/>
      </w:pPr>
      <w:r>
        <w:t xml:space="preserve">Die folgenden sieben Prinzipien leiten jede Architekturentscheidung in diesem Konzept und lösen damit auch potenzielle Zielkonflikte zwischen Lerngeschwindigkeit, Sicherheit und Kosten auf.</w:t>
      </w:r>
    </w:p>
    <w:p>
      <w:pPr>
        <w:pStyle w:val="ListParagraph"/>
        <w:numPr>
          <w:ilvl w:val="0"/>
          <w:numId w:val="2"/>
        </w:numPr>
        <w:spacing w:after="120" w:line="276"/>
      </w:pPr>
      <w:r>
        <w:rPr>
          <w:b/>
          <w:bCs/>
        </w:rPr>
        <w:t xml:space="preserve">Enge Domäne, breiter Architekturanspruch. </w:t>
      </w:r>
      <w:r>
        <w:t xml:space="preserve">Der Beweis wird in einer eng abgegrenzten, objektiv messbaren Domäne erbracht (Materialforschung), aber jede Komponente wird so entworfen, dass die Kopplung an die Domäne minimal und austauschbar bleibt.</w:t>
      </w:r>
    </w:p>
    <w:p>
      <w:pPr>
        <w:pStyle w:val="ListParagraph"/>
        <w:numPr>
          <w:ilvl w:val="0"/>
          <w:numId w:val="2"/>
        </w:numPr>
        <w:spacing w:after="120" w:line="276"/>
      </w:pPr>
      <w:r>
        <w:rPr>
          <w:b/>
          <w:bCs/>
        </w:rPr>
        <w:t xml:space="preserve">Lernen auf mehreren Zeitskalen statt eines einzigen Update-Mechanismus. </w:t>
      </w:r>
      <w:r>
        <w:t xml:space="preserve">Sofortiges, tägliches und quartalsweises Lernen werden bewusst getrennt, weil jede Zeitskala unterschiedliche Kosten-, Stabilitäts- und Sicherheitsanforderungen hat.</w:t>
      </w:r>
    </w:p>
    <w:p>
      <w:pPr>
        <w:pStyle w:val="ListParagraph"/>
        <w:numPr>
          <w:ilvl w:val="0"/>
          <w:numId w:val="2"/>
        </w:numPr>
        <w:spacing w:after="120" w:line="276"/>
      </w:pPr>
      <w:r>
        <w:rPr>
          <w:b/>
          <w:bCs/>
        </w:rPr>
        <w:t xml:space="preserve">Nichts wird ungeprüft geglaubt. </w:t>
      </w:r>
      <w:r>
        <w:t xml:space="preserve">Jede Aussage des Systems – ob an einen Menschen oder an das nächste Experiment gerichtet – trägt eine Herkunftskennzeichnung (experimentell bestätigt, Modellvorhersage mit Unsicherheit, Literaturzitat) und darf niemals unmarkiert als Fakt auftreten.</w:t>
      </w:r>
    </w:p>
    <w:p>
      <w:pPr>
        <w:pStyle w:val="ListParagraph"/>
        <w:numPr>
          <w:ilvl w:val="0"/>
          <w:numId w:val="2"/>
        </w:numPr>
        <w:spacing w:after="120" w:line="276"/>
      </w:pPr>
      <w:r>
        <w:rPr>
          <w:b/>
          <w:bCs/>
        </w:rPr>
        <w:t xml:space="preserve">Vergessen ist ein Feature, kein Bug – aber nur kontrolliert. </w:t>
      </w:r>
      <w:r>
        <w:t xml:space="preserve">Das System darf und soll irrelevante Details vergessen; was es nicht darf, ist unkontrolliert Kernfähigkeiten zu verlieren (katastrophales Vergessen). Beides wird separat gemessen und gesteuert.</w:t>
      </w:r>
    </w:p>
    <w:p>
      <w:pPr>
        <w:pStyle w:val="ListParagraph"/>
        <w:numPr>
          <w:ilvl w:val="0"/>
          <w:numId w:val="2"/>
        </w:numPr>
        <w:spacing w:after="120" w:line="276"/>
      </w:pPr>
      <w:r>
        <w:rPr>
          <w:b/>
          <w:bCs/>
        </w:rPr>
        <w:t xml:space="preserve">Mensch bleibt Architekt, nicht Ausführender. </w:t>
      </w:r>
      <w:r>
        <w:t xml:space="preserve">Menschliche Wissenschaftler:innen definieren Suchräume, genehmigen kostspielige oder heikle Experimente und interpretieren High-Level-Befunde; das System übernimmt die Ausführung und das Musterfinden in großem Maßstab.</w:t>
      </w:r>
    </w:p>
    <w:p>
      <w:pPr>
        <w:pStyle w:val="ListParagraph"/>
        <w:numPr>
          <w:ilvl w:val="0"/>
          <w:numId w:val="2"/>
        </w:numPr>
        <w:spacing w:after="120" w:line="276"/>
      </w:pPr>
      <w:r>
        <w:rPr>
          <w:b/>
          <w:bCs/>
        </w:rPr>
        <w:t xml:space="preserve">Jede Entscheidung ist auditierbar. </w:t>
      </w:r>
      <w:r>
        <w:t xml:space="preserve">Von jedem Speicher-Schreibvorgang bis zu jedem Modell-Update wird protokolliert, was, warum und mit welcher Evidenz geändert wurde – nicht optional, sondern architektonisch erzwungen.</w:t>
      </w:r>
    </w:p>
    <w:p>
      <w:pPr>
        <w:pStyle w:val="ListParagraph"/>
        <w:numPr>
          <w:ilvl w:val="0"/>
          <w:numId w:val="2"/>
        </w:numPr>
        <w:spacing w:after="120" w:line="276"/>
      </w:pPr>
      <w:r>
        <w:rPr>
          <w:b/>
          <w:bCs/>
        </w:rPr>
        <w:t xml:space="preserve">Physische Sicherheit vor Lerngeschwindigkeit. </w:t>
      </w:r>
      <w:r>
        <w:t xml:space="preserve">Jeder Mechanismus, der die Lerngeschwindigkeit erhöht, ist so gestaltet, dass er niemals eine Sicherheitsprüfung umgehen kann – Geschwindigkeit ist nachrangig gegenüber Kontrolle.</w:t>
      </w:r>
    </w:p>
    <w:p>
      <w:r>
        <w:br w:type="page"/>
      </w:r>
    </w:p>
    <w:p>
      <w:pPr>
        <w:pStyle w:val="Heading1"/>
      </w:pPr>
      <w:r>
        <w:t xml:space="preserve">4. Systemüberblick</w:t>
      </w:r>
    </w:p>
    <w:p>
      <w:pPr>
        <w:pStyle w:val="Heading2"/>
      </w:pPr>
      <w:r>
        <w:t xml:space="preserve">4.1 Warum Materialforschung als Flagship-Domäne</w:t>
      </w:r>
    </w:p>
    <w:p>
      <w:pPr>
        <w:spacing w:after="200" w:line="288"/>
      </w:pPr>
      <w:r>
        <w:t xml:space="preserve">Die Wahl der Domäne ist keine Nebensächlichkeit, sondern eine der wichtigsten technischen Entscheidungen in diesem Konzept. Materialforschung – konkret die Suche nach neuen Festelektrolyten für Feststoffbatterien – erfüllt vier Kriterien, die für den Nachweis von echtem kontinuierlichem Lernen entscheidend sind:</w:t>
      </w:r>
    </w:p>
    <w:p>
      <w:pPr>
        <w:pStyle w:val="ListParagraph"/>
        <w:numPr>
          <w:ilvl w:val="0"/>
          <w:numId w:val="2"/>
        </w:numPr>
        <w:spacing w:after="120" w:line="276"/>
      </w:pPr>
      <w:r>
        <w:t xml:space="preserve">Objektives, schnelles Feedback: Ionenleitfähigkeit, Stabilität und Syntheseerfolg lassen sich messen, nicht nur bewerten – ein sauberes Trainingssignal, das in der Medizin oder in sozialen Domänen so nicht existiert.</w:t>
      </w:r>
    </w:p>
    <w:p>
      <w:pPr>
        <w:pStyle w:val="ListParagraph"/>
        <w:numPr>
          <w:ilvl w:val="0"/>
          <w:numId w:val="2"/>
        </w:numPr>
        <w:spacing w:after="120" w:line="276"/>
      </w:pPr>
      <w:r>
        <w:t xml:space="preserve">Vorarbeiten existieren bereits: Autonome Labore wie das „A-Lab“ am Lawrence Berkeley National Laboratory haben bereits gezeigt, dass robotische Synthese kombiniert mit KI-Vorschlägen neue anorganische Verbindungen finden kann – CONTINUUM baut konzeptionell darauf auf, geht aber über die reine Automatisierung hinaus in Richtung echtes Weiterlernen über Experimentzyklen hinweg.</w:t>
      </w:r>
    </w:p>
    <w:p>
      <w:pPr>
        <w:pStyle w:val="ListParagraph"/>
        <w:numPr>
          <w:ilvl w:val="0"/>
          <w:numId w:val="2"/>
        </w:numPr>
        <w:spacing w:after="120" w:line="276"/>
      </w:pPr>
      <w:r>
        <w:t xml:space="preserve">Wirtschaftliche Relevanz: Bessere Festkörperelektrolyte sind ein direkter Hebel für Energiespeicherung und Elektromobilität – ein Feld mit klar messbarem gesellschaftlichem Nutzen.</w:t>
      </w:r>
    </w:p>
    <w:p>
      <w:pPr>
        <w:pStyle w:val="ListParagraph"/>
        <w:numPr>
          <w:ilvl w:val="0"/>
          <w:numId w:val="2"/>
        </w:numPr>
        <w:spacing w:after="120" w:line="276"/>
      </w:pPr>
      <w:r>
        <w:t xml:space="preserve">Kontrollierbares Sicherheitsprofil: Im Vergleich zu z. B. Biotechnologie oder Chemiewaffen-nahen Stoffklassen lässt sich das Gefahrenpotenzial von Batteriematerialien vorab gut klassifizieren und durch Screening-Regeln eng begrenzen.</w:t>
      </w:r>
    </w:p>
    <w:p>
      <w:pPr>
        <w:pStyle w:val="Heading2"/>
      </w:pPr>
      <w:r>
        <w:t xml:space="preserve">4.2 Der geschlossene Regelkreis</w:t>
      </w:r>
    </w:p>
    <w:p>
      <w:pPr>
        <w:spacing w:after="200" w:line="288"/>
      </w:pPr>
      <w:r>
        <w:t xml:space="preserve">CONTINUUM funktioniert als geschlossene Schleife aus elf Schritten, die jeweils Informationen an das Gedächtnis- und Lernsystem zurückspeisen. Tabelle 1 zeigt den vollständigen Zyklus von der Hypothese bis zur konsolidierten Wissenserweiterung.</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700"/>
        <w:gridCol w:w="5700"/>
        <w:gridCol w:w="2950"/>
      </w:tblGrid>
      <w:tr>
        <w:trPr>
          <w:tblHeader/>
        </w:trPr>
        <w:tc>
          <w:tcPr>
            <w:tcW w:type="dxa" w:w="700"/>
            <w:shd w:fill="1F4E5F" w:val="clear"/>
            <w:tcMar>
              <w:top w:type="dxa" w:w="100"/>
              <w:left w:type="dxa" w:w="120"/>
              <w:bottom w:type="dxa" w:w="100"/>
              <w:right w:type="dxa" w:w="120"/>
            </w:tcMar>
            <w:vAlign w:val="center"/>
          </w:tcPr>
          <w:p>
            <w:r>
              <w:rPr>
                <w:b/>
                <w:bCs/>
                <w:color w:val="FFFFFF"/>
                <w:sz w:val="19"/>
                <w:szCs w:val="19"/>
              </w:rPr>
              <w:t xml:space="preserve">#</w:t>
            </w:r>
          </w:p>
        </w:tc>
        <w:tc>
          <w:tcPr>
            <w:tcW w:type="dxa" w:w="5700"/>
            <w:shd w:fill="1F4E5F" w:val="clear"/>
            <w:tcMar>
              <w:top w:type="dxa" w:w="100"/>
              <w:left w:type="dxa" w:w="120"/>
              <w:bottom w:type="dxa" w:w="100"/>
              <w:right w:type="dxa" w:w="120"/>
            </w:tcMar>
            <w:vAlign w:val="center"/>
          </w:tcPr>
          <w:p>
            <w:r>
              <w:rPr>
                <w:b/>
                <w:bCs/>
                <w:color w:val="FFFFFF"/>
                <w:sz w:val="19"/>
                <w:szCs w:val="19"/>
              </w:rPr>
              <w:t xml:space="preserve">Schritt</w:t>
            </w:r>
          </w:p>
        </w:tc>
        <w:tc>
          <w:tcPr>
            <w:tcW w:type="dxa" w:w="2950"/>
            <w:shd w:fill="1F4E5F" w:val="clear"/>
            <w:tcMar>
              <w:top w:type="dxa" w:w="100"/>
              <w:left w:type="dxa" w:w="120"/>
              <w:bottom w:type="dxa" w:w="100"/>
              <w:right w:type="dxa" w:w="120"/>
            </w:tcMar>
            <w:vAlign w:val="center"/>
          </w:tcPr>
          <w:p>
            <w:r>
              <w:rPr>
                <w:b/>
                <w:bCs/>
                <w:color w:val="FFFFFF"/>
                <w:sz w:val="19"/>
                <w:szCs w:val="19"/>
              </w:rPr>
              <w:t xml:space="preserve">Verantwortliche Komponente</w:t>
            </w:r>
          </w:p>
        </w:tc>
      </w:tr>
      <w:tr>
        <w:tc>
          <w:tcPr>
            <w:tcW w:type="dxa" w:w="700"/>
            <w:shd w:fill="FFFFFF" w:val="clear"/>
            <w:tcMar>
              <w:top w:type="dxa" w:w="90"/>
              <w:left w:type="dxa" w:w="120"/>
              <w:bottom w:type="dxa" w:w="90"/>
              <w:right w:type="dxa" w:w="120"/>
            </w:tcMar>
            <w:vAlign w:val="center"/>
          </w:tcPr>
          <w:p>
            <w:r>
              <w:rPr>
                <w:sz w:val="18"/>
                <w:szCs w:val="18"/>
              </w:rPr>
              <w:t xml:space="preserve">1</w:t>
            </w:r>
          </w:p>
        </w:tc>
        <w:tc>
          <w:tcPr>
            <w:tcW w:type="dxa" w:w="5700"/>
            <w:shd w:fill="FFFFFF" w:val="clear"/>
            <w:tcMar>
              <w:top w:type="dxa" w:w="90"/>
              <w:left w:type="dxa" w:w="120"/>
              <w:bottom w:type="dxa" w:w="90"/>
              <w:right w:type="dxa" w:w="120"/>
            </w:tcMar>
            <w:vAlign w:val="center"/>
          </w:tcPr>
          <w:p>
            <w:r>
              <w:rPr>
                <w:sz w:val="18"/>
                <w:szCs w:val="18"/>
              </w:rPr>
              <w:t xml:space="preserve">Literatur- und Gedächtnis-Retrieval zu offener Forschungsfrage</w:t>
            </w:r>
          </w:p>
        </w:tc>
        <w:tc>
          <w:tcPr>
            <w:tcW w:type="dxa" w:w="2950"/>
            <w:shd w:fill="FFFFFF" w:val="clear"/>
            <w:tcMar>
              <w:top w:type="dxa" w:w="90"/>
              <w:left w:type="dxa" w:w="120"/>
              <w:bottom w:type="dxa" w:w="90"/>
              <w:right w:type="dxa" w:w="120"/>
            </w:tcMar>
            <w:vAlign w:val="center"/>
          </w:tcPr>
          <w:p>
            <w:r>
              <w:rPr>
                <w:sz w:val="18"/>
                <w:szCs w:val="18"/>
              </w:rPr>
              <w:t xml:space="preserve">Semantisches + episodisches Gedächtnis</w:t>
            </w:r>
          </w:p>
        </w:tc>
      </w:tr>
      <w:tr>
        <w:tc>
          <w:tcPr>
            <w:tcW w:type="dxa" w:w="700"/>
            <w:shd w:fill="F7F9F9" w:val="clear"/>
            <w:tcMar>
              <w:top w:type="dxa" w:w="90"/>
              <w:left w:type="dxa" w:w="120"/>
              <w:bottom w:type="dxa" w:w="90"/>
              <w:right w:type="dxa" w:w="120"/>
            </w:tcMar>
            <w:vAlign w:val="center"/>
          </w:tcPr>
          <w:p>
            <w:r>
              <w:rPr>
                <w:sz w:val="18"/>
                <w:szCs w:val="18"/>
              </w:rPr>
              <w:t xml:space="preserve">2</w:t>
            </w:r>
          </w:p>
        </w:tc>
        <w:tc>
          <w:tcPr>
            <w:tcW w:type="dxa" w:w="5700"/>
            <w:shd w:fill="F7F9F9" w:val="clear"/>
            <w:tcMar>
              <w:top w:type="dxa" w:w="90"/>
              <w:left w:type="dxa" w:w="120"/>
              <w:bottom w:type="dxa" w:w="90"/>
              <w:right w:type="dxa" w:w="120"/>
            </w:tcMar>
            <w:vAlign w:val="center"/>
          </w:tcPr>
          <w:p>
            <w:r>
              <w:rPr>
                <w:sz w:val="18"/>
                <w:szCs w:val="18"/>
              </w:rPr>
              <w:t xml:space="preserve">Hypothesengenerierung im Multi-Agenten-Tournament</w:t>
            </w:r>
          </w:p>
        </w:tc>
        <w:tc>
          <w:tcPr>
            <w:tcW w:type="dxa" w:w="2950"/>
            <w:shd w:fill="F7F9F9" w:val="clear"/>
            <w:tcMar>
              <w:top w:type="dxa" w:w="90"/>
              <w:left w:type="dxa" w:w="120"/>
              <w:bottom w:type="dxa" w:w="90"/>
              <w:right w:type="dxa" w:w="120"/>
            </w:tcMar>
            <w:vAlign w:val="center"/>
          </w:tcPr>
          <w:p>
            <w:r>
              <w:rPr>
                <w:sz w:val="18"/>
                <w:szCs w:val="18"/>
              </w:rPr>
              <w:t xml:space="preserve">Hypothesen-Engine</w:t>
            </w:r>
          </w:p>
        </w:tc>
      </w:tr>
      <w:tr>
        <w:tc>
          <w:tcPr>
            <w:tcW w:type="dxa" w:w="700"/>
            <w:shd w:fill="FFFFFF" w:val="clear"/>
            <w:tcMar>
              <w:top w:type="dxa" w:w="90"/>
              <w:left w:type="dxa" w:w="120"/>
              <w:bottom w:type="dxa" w:w="90"/>
              <w:right w:type="dxa" w:w="120"/>
            </w:tcMar>
            <w:vAlign w:val="center"/>
          </w:tcPr>
          <w:p>
            <w:r>
              <w:rPr>
                <w:sz w:val="18"/>
                <w:szCs w:val="18"/>
              </w:rPr>
              <w:t xml:space="preserve">3</w:t>
            </w:r>
          </w:p>
        </w:tc>
        <w:tc>
          <w:tcPr>
            <w:tcW w:type="dxa" w:w="5700"/>
            <w:shd w:fill="FFFFFF" w:val="clear"/>
            <w:tcMar>
              <w:top w:type="dxa" w:w="90"/>
              <w:left w:type="dxa" w:w="120"/>
              <w:bottom w:type="dxa" w:w="90"/>
              <w:right w:type="dxa" w:w="120"/>
            </w:tcMar>
            <w:vAlign w:val="center"/>
          </w:tcPr>
          <w:p>
            <w:r>
              <w:rPr>
                <w:sz w:val="18"/>
                <w:szCs w:val="18"/>
              </w:rPr>
              <w:t xml:space="preserve">Neuheits-, Plausibilitäts- und Sicherheitsprüfung</w:t>
            </w:r>
          </w:p>
        </w:tc>
        <w:tc>
          <w:tcPr>
            <w:tcW w:type="dxa" w:w="2950"/>
            <w:shd w:fill="FFFFFF" w:val="clear"/>
            <w:tcMar>
              <w:top w:type="dxa" w:w="90"/>
              <w:left w:type="dxa" w:w="120"/>
              <w:bottom w:type="dxa" w:w="90"/>
              <w:right w:type="dxa" w:w="120"/>
            </w:tcMar>
            <w:vAlign w:val="center"/>
          </w:tcPr>
          <w:p>
            <w:r>
              <w:rPr>
                <w:sz w:val="18"/>
                <w:szCs w:val="18"/>
              </w:rPr>
              <w:t xml:space="preserve">Verifikationsschicht + Safety-Gate</w:t>
            </w:r>
          </w:p>
        </w:tc>
      </w:tr>
      <w:tr>
        <w:tc>
          <w:tcPr>
            <w:tcW w:type="dxa" w:w="700"/>
            <w:shd w:fill="F7F9F9" w:val="clear"/>
            <w:tcMar>
              <w:top w:type="dxa" w:w="90"/>
              <w:left w:type="dxa" w:w="120"/>
              <w:bottom w:type="dxa" w:w="90"/>
              <w:right w:type="dxa" w:w="120"/>
            </w:tcMar>
            <w:vAlign w:val="center"/>
          </w:tcPr>
          <w:p>
            <w:r>
              <w:rPr>
                <w:sz w:val="18"/>
                <w:szCs w:val="18"/>
              </w:rPr>
              <w:t xml:space="preserve">4</w:t>
            </w:r>
          </w:p>
        </w:tc>
        <w:tc>
          <w:tcPr>
            <w:tcW w:type="dxa" w:w="5700"/>
            <w:shd w:fill="F7F9F9" w:val="clear"/>
            <w:tcMar>
              <w:top w:type="dxa" w:w="90"/>
              <w:left w:type="dxa" w:w="120"/>
              <w:bottom w:type="dxa" w:w="90"/>
              <w:right w:type="dxa" w:w="120"/>
            </w:tcMar>
            <w:vAlign w:val="center"/>
          </w:tcPr>
          <w:p>
            <w:r>
              <w:rPr>
                <w:sz w:val="18"/>
                <w:szCs w:val="18"/>
              </w:rPr>
              <w:t xml:space="preserve">Freigabe durch Mensch (bei Kosten-/Risikoschwelle)</w:t>
            </w:r>
          </w:p>
        </w:tc>
        <w:tc>
          <w:tcPr>
            <w:tcW w:type="dxa" w:w="2950"/>
            <w:shd w:fill="F7F9F9" w:val="clear"/>
            <w:tcMar>
              <w:top w:type="dxa" w:w="90"/>
              <w:left w:type="dxa" w:w="120"/>
              <w:bottom w:type="dxa" w:w="90"/>
              <w:right w:type="dxa" w:w="120"/>
            </w:tcMar>
            <w:vAlign w:val="center"/>
          </w:tcPr>
          <w:p>
            <w:r>
              <w:rPr>
                <w:sz w:val="18"/>
                <w:szCs w:val="18"/>
              </w:rPr>
              <w:t xml:space="preserve">Governance-Schicht</w:t>
            </w:r>
          </w:p>
        </w:tc>
      </w:tr>
      <w:tr>
        <w:tc>
          <w:tcPr>
            <w:tcW w:type="dxa" w:w="700"/>
            <w:shd w:fill="FFFFFF" w:val="clear"/>
            <w:tcMar>
              <w:top w:type="dxa" w:w="90"/>
              <w:left w:type="dxa" w:w="120"/>
              <w:bottom w:type="dxa" w:w="90"/>
              <w:right w:type="dxa" w:w="120"/>
            </w:tcMar>
            <w:vAlign w:val="center"/>
          </w:tcPr>
          <w:p>
            <w:r>
              <w:rPr>
                <w:sz w:val="18"/>
                <w:szCs w:val="18"/>
              </w:rPr>
              <w:t xml:space="preserve">5</w:t>
            </w:r>
          </w:p>
        </w:tc>
        <w:tc>
          <w:tcPr>
            <w:tcW w:type="dxa" w:w="5700"/>
            <w:shd w:fill="FFFFFF" w:val="clear"/>
            <w:tcMar>
              <w:top w:type="dxa" w:w="90"/>
              <w:left w:type="dxa" w:w="120"/>
              <w:bottom w:type="dxa" w:w="90"/>
              <w:right w:type="dxa" w:w="120"/>
            </w:tcMar>
            <w:vAlign w:val="center"/>
          </w:tcPr>
          <w:p>
            <w:r>
              <w:rPr>
                <w:sz w:val="18"/>
                <w:szCs w:val="18"/>
              </w:rPr>
              <w:t xml:space="preserve">Experimentplanung (Bayes’sche Optimierung im Parameterraum)</w:t>
            </w:r>
          </w:p>
        </w:tc>
        <w:tc>
          <w:tcPr>
            <w:tcW w:type="dxa" w:w="2950"/>
            <w:shd w:fill="FFFFFF" w:val="clear"/>
            <w:tcMar>
              <w:top w:type="dxa" w:w="90"/>
              <w:left w:type="dxa" w:w="120"/>
              <w:bottom w:type="dxa" w:w="90"/>
              <w:right w:type="dxa" w:w="120"/>
            </w:tcMar>
            <w:vAlign w:val="center"/>
          </w:tcPr>
          <w:p>
            <w:r>
              <w:rPr>
                <w:sz w:val="18"/>
                <w:szCs w:val="18"/>
              </w:rPr>
              <w:t xml:space="preserve">Weltmodell-Schicht</w:t>
            </w:r>
          </w:p>
        </w:tc>
      </w:tr>
      <w:tr>
        <w:tc>
          <w:tcPr>
            <w:tcW w:type="dxa" w:w="700"/>
            <w:shd w:fill="F7F9F9" w:val="clear"/>
            <w:tcMar>
              <w:top w:type="dxa" w:w="90"/>
              <w:left w:type="dxa" w:w="120"/>
              <w:bottom w:type="dxa" w:w="90"/>
              <w:right w:type="dxa" w:w="120"/>
            </w:tcMar>
            <w:vAlign w:val="center"/>
          </w:tcPr>
          <w:p>
            <w:r>
              <w:rPr>
                <w:sz w:val="18"/>
                <w:szCs w:val="18"/>
              </w:rPr>
              <w:t xml:space="preserve">6</w:t>
            </w:r>
          </w:p>
        </w:tc>
        <w:tc>
          <w:tcPr>
            <w:tcW w:type="dxa" w:w="5700"/>
            <w:shd w:fill="F7F9F9" w:val="clear"/>
            <w:tcMar>
              <w:top w:type="dxa" w:w="90"/>
              <w:left w:type="dxa" w:w="120"/>
              <w:bottom w:type="dxa" w:w="90"/>
              <w:right w:type="dxa" w:w="120"/>
            </w:tcMar>
            <w:vAlign w:val="center"/>
          </w:tcPr>
          <w:p>
            <w:r>
              <w:rPr>
                <w:sz w:val="18"/>
                <w:szCs w:val="18"/>
              </w:rPr>
              <w:t xml:space="preserve">Robotische Synthese/Ausführung</w:t>
            </w:r>
          </w:p>
        </w:tc>
        <w:tc>
          <w:tcPr>
            <w:tcW w:type="dxa" w:w="2950"/>
            <w:shd w:fill="F7F9F9" w:val="clear"/>
            <w:tcMar>
              <w:top w:type="dxa" w:w="90"/>
              <w:left w:type="dxa" w:w="120"/>
              <w:bottom w:type="dxa" w:w="90"/>
              <w:right w:type="dxa" w:w="120"/>
            </w:tcMar>
            <w:vAlign w:val="center"/>
          </w:tcPr>
          <w:p>
            <w:r>
              <w:rPr>
                <w:sz w:val="18"/>
                <w:szCs w:val="18"/>
              </w:rPr>
              <w:t xml:space="preserve">Robotik-Schicht (Self-Driving Lab)</w:t>
            </w:r>
          </w:p>
        </w:tc>
      </w:tr>
      <w:tr>
        <w:tc>
          <w:tcPr>
            <w:tcW w:type="dxa" w:w="700"/>
            <w:shd w:fill="FFFFFF" w:val="clear"/>
            <w:tcMar>
              <w:top w:type="dxa" w:w="90"/>
              <w:left w:type="dxa" w:w="120"/>
              <w:bottom w:type="dxa" w:w="90"/>
              <w:right w:type="dxa" w:w="120"/>
            </w:tcMar>
            <w:vAlign w:val="center"/>
          </w:tcPr>
          <w:p>
            <w:r>
              <w:rPr>
                <w:sz w:val="18"/>
                <w:szCs w:val="18"/>
              </w:rPr>
              <w:t xml:space="preserve">7</w:t>
            </w:r>
          </w:p>
        </w:tc>
        <w:tc>
          <w:tcPr>
            <w:tcW w:type="dxa" w:w="5700"/>
            <w:shd w:fill="FFFFFF" w:val="clear"/>
            <w:tcMar>
              <w:top w:type="dxa" w:w="90"/>
              <w:left w:type="dxa" w:w="120"/>
              <w:bottom w:type="dxa" w:w="90"/>
              <w:right w:type="dxa" w:w="120"/>
            </w:tcMar>
            <w:vAlign w:val="center"/>
          </w:tcPr>
          <w:p>
            <w:r>
              <w:rPr>
                <w:sz w:val="18"/>
                <w:szCs w:val="18"/>
              </w:rPr>
              <w:t xml:space="preserve">Sensorik, Charakterisierung (XRD, Impedanzspektroskopie etc.)</w:t>
            </w:r>
          </w:p>
        </w:tc>
        <w:tc>
          <w:tcPr>
            <w:tcW w:type="dxa" w:w="2950"/>
            <w:shd w:fill="FFFFFF" w:val="clear"/>
            <w:tcMar>
              <w:top w:type="dxa" w:w="90"/>
              <w:left w:type="dxa" w:w="120"/>
              <w:bottom w:type="dxa" w:w="90"/>
              <w:right w:type="dxa" w:w="120"/>
            </w:tcMar>
            <w:vAlign w:val="center"/>
          </w:tcPr>
          <w:p>
            <w:r>
              <w:rPr>
                <w:sz w:val="18"/>
                <w:szCs w:val="18"/>
              </w:rPr>
              <w:t xml:space="preserve">Wahrnehmungsschicht</w:t>
            </w:r>
          </w:p>
        </w:tc>
      </w:tr>
      <w:tr>
        <w:tc>
          <w:tcPr>
            <w:tcW w:type="dxa" w:w="700"/>
            <w:shd w:fill="F7F9F9" w:val="clear"/>
            <w:tcMar>
              <w:top w:type="dxa" w:w="90"/>
              <w:left w:type="dxa" w:w="120"/>
              <w:bottom w:type="dxa" w:w="90"/>
              <w:right w:type="dxa" w:w="120"/>
            </w:tcMar>
            <w:vAlign w:val="center"/>
          </w:tcPr>
          <w:p>
            <w:r>
              <w:rPr>
                <w:sz w:val="18"/>
                <w:szCs w:val="18"/>
              </w:rPr>
              <w:t xml:space="preserve">8</w:t>
            </w:r>
          </w:p>
        </w:tc>
        <w:tc>
          <w:tcPr>
            <w:tcW w:type="dxa" w:w="5700"/>
            <w:shd w:fill="F7F9F9" w:val="clear"/>
            <w:tcMar>
              <w:top w:type="dxa" w:w="90"/>
              <w:left w:type="dxa" w:w="120"/>
              <w:bottom w:type="dxa" w:w="90"/>
              <w:right w:type="dxa" w:w="120"/>
            </w:tcMar>
            <w:vAlign w:val="center"/>
          </w:tcPr>
          <w:p>
            <w:r>
              <w:rPr>
                <w:sz w:val="18"/>
                <w:szCs w:val="18"/>
              </w:rPr>
              <w:t xml:space="preserve">Abgleich Vorhersage vs. Ergebnis, Kalibrierung</w:t>
            </w:r>
          </w:p>
        </w:tc>
        <w:tc>
          <w:tcPr>
            <w:tcW w:type="dxa" w:w="2950"/>
            <w:shd w:fill="F7F9F9" w:val="clear"/>
            <w:tcMar>
              <w:top w:type="dxa" w:w="90"/>
              <w:left w:type="dxa" w:w="120"/>
              <w:bottom w:type="dxa" w:w="90"/>
              <w:right w:type="dxa" w:w="120"/>
            </w:tcMar>
            <w:vAlign w:val="center"/>
          </w:tcPr>
          <w:p>
            <w:r>
              <w:rPr>
                <w:sz w:val="18"/>
                <w:szCs w:val="18"/>
              </w:rPr>
              <w:t xml:space="preserve">Verifikationsschicht</w:t>
            </w:r>
          </w:p>
        </w:tc>
      </w:tr>
      <w:tr>
        <w:tc>
          <w:tcPr>
            <w:tcW w:type="dxa" w:w="700"/>
            <w:shd w:fill="FFFFFF" w:val="clear"/>
            <w:tcMar>
              <w:top w:type="dxa" w:w="90"/>
              <w:left w:type="dxa" w:w="120"/>
              <w:bottom w:type="dxa" w:w="90"/>
              <w:right w:type="dxa" w:w="120"/>
            </w:tcMar>
            <w:vAlign w:val="center"/>
          </w:tcPr>
          <w:p>
            <w:r>
              <w:rPr>
                <w:sz w:val="18"/>
                <w:szCs w:val="18"/>
              </w:rPr>
              <w:t xml:space="preserve">9</w:t>
            </w:r>
          </w:p>
        </w:tc>
        <w:tc>
          <w:tcPr>
            <w:tcW w:type="dxa" w:w="5700"/>
            <w:shd w:fill="FFFFFF" w:val="clear"/>
            <w:tcMar>
              <w:top w:type="dxa" w:w="90"/>
              <w:left w:type="dxa" w:w="120"/>
              <w:bottom w:type="dxa" w:w="90"/>
              <w:right w:type="dxa" w:w="120"/>
            </w:tcMar>
            <w:vAlign w:val="center"/>
          </w:tcPr>
          <w:p>
            <w:r>
              <w:rPr>
                <w:sz w:val="18"/>
                <w:szCs w:val="18"/>
              </w:rPr>
              <w:t xml:space="preserve">Sofort-Update: neue Fakten ins Arbeits-/episodisches Gedächtnis</w:t>
            </w:r>
          </w:p>
        </w:tc>
        <w:tc>
          <w:tcPr>
            <w:tcW w:type="dxa" w:w="2950"/>
            <w:shd w:fill="FFFFFF" w:val="clear"/>
            <w:tcMar>
              <w:top w:type="dxa" w:w="90"/>
              <w:left w:type="dxa" w:w="120"/>
              <w:bottom w:type="dxa" w:w="90"/>
              <w:right w:type="dxa" w:w="120"/>
            </w:tcMar>
            <w:vAlign w:val="center"/>
          </w:tcPr>
          <w:p>
            <w:r>
              <w:rPr>
                <w:sz w:val="18"/>
                <w:szCs w:val="18"/>
              </w:rPr>
              <w:t xml:space="preserve">Lernsystem, Geschwindigkeit 1</w:t>
            </w:r>
          </w:p>
        </w:tc>
      </w:tr>
      <w:tr>
        <w:tc>
          <w:tcPr>
            <w:tcW w:type="dxa" w:w="700"/>
            <w:shd w:fill="F7F9F9" w:val="clear"/>
            <w:tcMar>
              <w:top w:type="dxa" w:w="90"/>
              <w:left w:type="dxa" w:w="120"/>
              <w:bottom w:type="dxa" w:w="90"/>
              <w:right w:type="dxa" w:w="120"/>
            </w:tcMar>
            <w:vAlign w:val="center"/>
          </w:tcPr>
          <w:p>
            <w:r>
              <w:rPr>
                <w:sz w:val="18"/>
                <w:szCs w:val="18"/>
              </w:rPr>
              <w:t xml:space="preserve">10</w:t>
            </w:r>
          </w:p>
        </w:tc>
        <w:tc>
          <w:tcPr>
            <w:tcW w:type="dxa" w:w="5700"/>
            <w:shd w:fill="F7F9F9" w:val="clear"/>
            <w:tcMar>
              <w:top w:type="dxa" w:w="90"/>
              <w:left w:type="dxa" w:w="120"/>
              <w:bottom w:type="dxa" w:w="90"/>
              <w:right w:type="dxa" w:w="120"/>
            </w:tcMar>
            <w:vAlign w:val="center"/>
          </w:tcPr>
          <w:p>
            <w:r>
              <w:rPr>
                <w:sz w:val="18"/>
                <w:szCs w:val="18"/>
              </w:rPr>
              <w:t xml:space="preserve">Wöchentliches Adapter-Training aus gesammelter Erfahrung</w:t>
            </w:r>
          </w:p>
        </w:tc>
        <w:tc>
          <w:tcPr>
            <w:tcW w:type="dxa" w:w="2950"/>
            <w:shd w:fill="F7F9F9" w:val="clear"/>
            <w:tcMar>
              <w:top w:type="dxa" w:w="90"/>
              <w:left w:type="dxa" w:w="120"/>
              <w:bottom w:type="dxa" w:w="90"/>
              <w:right w:type="dxa" w:w="120"/>
            </w:tcMar>
            <w:vAlign w:val="center"/>
          </w:tcPr>
          <w:p>
            <w:r>
              <w:rPr>
                <w:sz w:val="18"/>
                <w:szCs w:val="18"/>
              </w:rPr>
              <w:t xml:space="preserve">Lernsystem, Geschwindigkeit 2</w:t>
            </w:r>
          </w:p>
        </w:tc>
      </w:tr>
      <w:tr>
        <w:tc>
          <w:tcPr>
            <w:tcW w:type="dxa" w:w="700"/>
            <w:shd w:fill="FFFFFF" w:val="clear"/>
            <w:tcMar>
              <w:top w:type="dxa" w:w="90"/>
              <w:left w:type="dxa" w:w="120"/>
              <w:bottom w:type="dxa" w:w="90"/>
              <w:right w:type="dxa" w:w="120"/>
            </w:tcMar>
            <w:vAlign w:val="center"/>
          </w:tcPr>
          <w:p>
            <w:r>
              <w:rPr>
                <w:sz w:val="18"/>
                <w:szCs w:val="18"/>
              </w:rPr>
              <w:t xml:space="preserve">11</w:t>
            </w:r>
          </w:p>
        </w:tc>
        <w:tc>
          <w:tcPr>
            <w:tcW w:type="dxa" w:w="5700"/>
            <w:shd w:fill="FFFFFF" w:val="clear"/>
            <w:tcMar>
              <w:top w:type="dxa" w:w="90"/>
              <w:left w:type="dxa" w:w="120"/>
              <w:bottom w:type="dxa" w:w="90"/>
              <w:right w:type="dxa" w:w="120"/>
            </w:tcMar>
            <w:vAlign w:val="center"/>
          </w:tcPr>
          <w:p>
            <w:r>
              <w:rPr>
                <w:sz w:val="18"/>
                <w:szCs w:val="18"/>
              </w:rPr>
              <w:t xml:space="preserve">Quartalsweise Konsolidierung ohne Wissensverlust</w:t>
            </w:r>
          </w:p>
        </w:tc>
        <w:tc>
          <w:tcPr>
            <w:tcW w:type="dxa" w:w="2950"/>
            <w:shd w:fill="FFFFFF" w:val="clear"/>
            <w:tcMar>
              <w:top w:type="dxa" w:w="90"/>
              <w:left w:type="dxa" w:w="120"/>
              <w:bottom w:type="dxa" w:w="90"/>
              <w:right w:type="dxa" w:w="120"/>
            </w:tcMar>
            <w:vAlign w:val="center"/>
          </w:tcPr>
          <w:p>
            <w:r>
              <w:rPr>
                <w:sz w:val="18"/>
                <w:szCs w:val="18"/>
              </w:rPr>
              <w:t xml:space="preserve">Lernsystem, Geschwindigkeit 3</w:t>
            </w:r>
          </w:p>
        </w:tc>
      </w:tr>
    </w:tbl>
    <w:p>
      <w:pPr>
        <w:spacing w:after="200" w:line="288"/>
      </w:pPr>
      <w:r>
        <w:t xml:space="preserve">Nach Schritt 11 beginnt der Zyklus erneut bei Schritt 1 – jedoch mit einem System, dessen Gedächtnis und dessen Gewichte sich messbar verändert haben. Genau diese Messbarkeit der Veränderung ist der entscheidende Unterschied zu einem klassischen, statischen Modell mit RAG-Aufsatz.</w:t>
      </w:r>
    </w:p>
    <w:p>
      <w:r>
        <w:br w:type="page"/>
      </w:r>
    </w:p>
    <w:p>
      <w:pPr>
        <w:pStyle w:val="Heading1"/>
      </w:pPr>
      <w:r>
        <w:t xml:space="preserve">5. Komponentenarchitektur im Detail</w:t>
      </w:r>
    </w:p>
    <w:p>
      <w:pPr>
        <w:pStyle w:val="Heading2"/>
      </w:pPr>
      <w:r>
        <w:t xml:space="preserve">5.1 Wahrnehmungs- und Weltmodell-Schicht</w:t>
      </w:r>
    </w:p>
    <w:p>
      <w:pPr>
        <w:spacing w:after="200" w:line="288"/>
      </w:pPr>
      <w:r>
        <w:t xml:space="preserve">Statt zu versuchen, das ungelöste Problem allgemeiner intuitiver Physik zu lösen (siehe 2.2), verfolgt CONTINUUM einen bewusst engeren, aber belastbaren Ansatz: ein domänengeerdetes Weltmodell, trainiert ausschließlich auf den Sensor-Modalitäten des Labors – Röntgendiffraktometrie (XRD), Raman-Spektroskopie, Impedanzspektroskopie, Reaktionsvideo. Dieses Modell muss keine allgemeine Physik verstehen, sondern nur eine gut abgegrenzte Vorhersageaufgabe lösen: Wie verändert sich eine Materialeigenschaft (Ionenleitfähigkeit, Phasenstabilität) in Abhängigkeit von Zusammensetzung und Syntheseparametern? Dieser eng gefasste Zuschnitt macht das Problem tractable, wo generelle intuitive Physik es aktuell nicht ist.</w:t>
      </w:r>
    </w:p>
    <w:p>
      <w:pPr>
        <w:spacing w:after="200" w:line="288"/>
      </w:pPr>
      <w:r>
        <w:t xml:space="preserve">Technisch wird dieses Weltmodell als probabilistisches Surrogatmodell umgesetzt (Gaussian-Process- oder neuronale Ensemble-Ansätze für Bayes’sche Optimierung), das explizite Unsicherheitsschätzungen liefert – nicht nur einen Punktwert, sondern eine Verteilung. Diese Unsicherheit steuert direkt, welche Experimente als Nächstes Priorität erhalten (Exploration vs. Exploitation).</w:t>
      </w:r>
    </w:p>
    <w:p>
      <w:pPr>
        <w:pStyle w:val="Heading2"/>
      </w:pPr>
      <w:r>
        <w:t xml:space="preserve">5.2 Gedächtnissystem</w:t>
      </w:r>
    </w:p>
    <w:p>
      <w:pPr>
        <w:spacing w:after="200" w:line="288"/>
      </w:pPr>
      <w:r>
        <w:t xml:space="preserve">Das Gedächtnissystem folgt einer vierschichtigen Architektur, die sich in der aktuellen Forschung zu LLM-Agenten als robustes Muster etabliert hat [2]:</w:t>
      </w:r>
    </w:p>
    <w:p>
      <w:pPr>
        <w:pStyle w:val="ListParagraph"/>
        <w:numPr>
          <w:ilvl w:val="0"/>
          <w:numId w:val="2"/>
        </w:numPr>
        <w:spacing w:after="120" w:line="276"/>
      </w:pPr>
      <w:r>
        <w:rPr>
          <w:b/>
          <w:bCs/>
        </w:rPr>
        <w:t xml:space="preserve">Arbeitsgedächtnis: </w:t>
      </w:r>
      <w:r>
        <w:t xml:space="preserve">der aktuelle Kontext des laufenden Experiments bzw. der laufenden Analyse – vollständiger, aber kapazitätsbegrenzter Zugriff.</w:t>
      </w:r>
    </w:p>
    <w:p>
      <w:pPr>
        <w:pStyle w:val="ListParagraph"/>
        <w:numPr>
          <w:ilvl w:val="0"/>
          <w:numId w:val="2"/>
        </w:numPr>
        <w:spacing w:after="120" w:line="276"/>
      </w:pPr>
      <w:r>
        <w:rPr>
          <w:b/>
          <w:bCs/>
        </w:rPr>
        <w:t xml:space="preserve">Episodisches Gedächtnis: </w:t>
      </w:r>
      <w:r>
        <w:t xml:space="preserve">zeitgestempelte Aufzeichnungen konkreter Experimente („Synthese X bei 850 °C ergab Phase Y, Ionenleitfähigkeit Z“), gespeichert mit Embeddings zur Ähnlichkeitssuche.</w:t>
      </w:r>
    </w:p>
    <w:p>
      <w:pPr>
        <w:pStyle w:val="ListParagraph"/>
        <w:numPr>
          <w:ilvl w:val="0"/>
          <w:numId w:val="2"/>
        </w:numPr>
        <w:spacing w:after="120" w:line="276"/>
      </w:pPr>
      <w:r>
        <w:rPr>
          <w:b/>
          <w:bCs/>
        </w:rPr>
        <w:t xml:space="preserve">Semantisches Gedächtnis: </w:t>
      </w:r>
      <w:r>
        <w:t xml:space="preserve">aus vielen Episoden abstrahiertes, dekontextualisiertes Wissen („Dotierung mit Element A erhöht systematisch die Leitfähigkeit in Materialklasse B“).</w:t>
      </w:r>
    </w:p>
    <w:p>
      <w:pPr>
        <w:pStyle w:val="ListParagraph"/>
        <w:numPr>
          <w:ilvl w:val="0"/>
          <w:numId w:val="2"/>
        </w:numPr>
        <w:spacing w:after="120" w:line="276"/>
      </w:pPr>
      <w:r>
        <w:rPr>
          <w:b/>
          <w:bCs/>
        </w:rPr>
        <w:t xml:space="preserve">Prozedurales Gedächtnis: </w:t>
      </w:r>
      <w:r>
        <w:t xml:space="preserve">wiederverwendbare, ausführbare Laborprotokolle und Analyseskripte – nicht nur als Beschreibung, sondern als aufrufbarer Code.</w:t>
      </w:r>
    </w:p>
    <w:p>
      <w:pPr>
        <w:spacing w:after="200" w:line="288"/>
      </w:pPr>
      <w:r>
        <w:t xml:space="preserve">Die Konsolidierung neuer Erinnerungen folgt einem Zwei-Puffer-Modell nach biologischem Vorbild: Neue Beobachtungen landen zunächst in einem „heißen“ Probepuffer und werden erst nach Validierung (Reproduzierbarkeitsprüfung, Deduplizierung, Bedeutungsbewertung) ins Langzeitgedächtnis überführt [2]. Das verhindert, dass einzelne fehlerhafte Messungen dauerhaft falsches Wissen erzeugen.</w:t>
      </w:r>
    </w:p>
    <w:p>
      <w:pPr>
        <w:spacing w:after="200" w:line="288"/>
      </w:pPr>
      <w:r>
        <w:t xml:space="preserve">Wichtig für die technische Seriosität dieses Konzepts: lange Kontextfenster ersetzen dieses System nicht. Aktuelle Benchmarks zeigen, dass selbst 200k-Token-Kontexte bei Aufgaben, die selektiven Abruf und aktives Management erfordern, gegenüber zweckgebauten Gedächtnissystemen unterlegen bleiben [2] – „langer Kontext ist kein Gedächtnis“.</w:t>
      </w:r>
    </w:p>
    <w:p>
      <w:pPr>
        <w:pStyle w:val="Heading2"/>
      </w:pPr>
      <w:r>
        <w:t xml:space="preserve">5.3 Kontinuierliches Lernsystem: die Drei-Geschwindigkeiten-Architektur</w:t>
      </w:r>
    </w:p>
    <w:p>
      <w:pPr>
        <w:spacing w:after="200" w:line="288"/>
      </w:pPr>
      <w:r>
        <w:t xml:space="preserve">Das Herzstück von CONTINUUM ist ein Lernsystem mit drei bewusst getrennten Geschwindigkeiten, die jeweils unterschiedliche Mechanismen aus der aktuellen Forschung zu kontinuierlichem Lernen kombinieren [3]:</w:t>
      </w:r>
    </w:p>
    <w:p>
      <w:pPr>
        <w:pStyle w:val="Heading3"/>
      </w:pPr>
      <w:r>
        <w:t xml:space="preserve">Geschwindigkeit 1 — Sofortlernen (Sekunden bis Minuten, kein Gradienten-Update)</w:t>
      </w:r>
    </w:p>
    <w:p>
      <w:pPr>
        <w:spacing w:after="200" w:line="288"/>
      </w:pPr>
      <w:r>
        <w:t xml:space="preserve">Token-Raum-Lernen nach dem Vorbild von Letta/MemGPT: Das Modell selbst entscheidet über Werkzeugaufrufe, was ins editierbare Kern-Gedächtnis geschrieben, was ins Archiv ausgelagert und was abgerufen wird. Kein Gewichts-Update, daher sofort wirksam und risikofrei bezüglich Stabilität.</w:t>
      </w:r>
    </w:p>
    <w:p>
      <w:pPr>
        <w:pStyle w:val="Heading3"/>
      </w:pPr>
      <w:r>
        <w:t xml:space="preserve">Geschwindigkeit 2 — Fähigkeitsaufbau (täglich bis wöchentlich, leichte Gewichts-Updates)</w:t>
      </w:r>
    </w:p>
    <w:p>
      <w:pPr>
        <w:spacing w:after="200" w:line="288"/>
      </w:pPr>
      <w:r>
        <w:t xml:space="preserve">Neue Fertigkeiten (z. B. „Synthesebedingungen für Sulfid-Elektrolyte einschätzen“) werden als schlanke LoRA-Adapter (ca. 0,1–1 % der Parameterzahl) kodiert, trainiert über Contextual Experience Replay – also wiederholtes Training auf zusammengefassten, realen Erfahrungssequenzen aus dem episodischen Gedächtnis, was in Benchmarks bereits deutliche Leistungssteigerungen gezeigt hat [3]. Orthogonal Subspace Learning (O-LoRA) sorgt dafür, dass neue Adapter für unterschiedliche Teildomänen (z. B. Kathodenchemie vs. Elektrolytchemie) sich nicht gegenseitig überschreiben, weil ihre Gradientenrichtungen orthogonal zueinander erzwungen werden.</w:t>
      </w:r>
    </w:p>
    <w:p>
      <w:pPr>
        <w:pStyle w:val="Heading3"/>
      </w:pPr>
      <w:r>
        <w:t xml:space="preserve">Geschwindigkeit 3 — Konsolidierung (quartalsweise, geschützte Kernmodell-Updates)</w:t>
      </w:r>
    </w:p>
    <w:p>
      <w:pPr>
        <w:spacing w:after="200" w:line="288"/>
      </w:pPr>
      <w:r>
        <w:t xml:space="preserve">In größeren Abständen werden die wertvollsten akkumulierten Adapter und hochbedeutsame episodische Erinnerungen in die Kernmodell-Gewichte zurückdestilliert – vergleichbar mit Gedächtniskonsolidierung im Schlaf. Um dabei katastrophales Vergessen zu vermeiden, wird Elastic Weight Consolidation (EWC) eingesetzt: Über die Fisher-Informationsmatrix werden die für bisherige Fähigkeiten kritischen Parameter identifiziert und mit einer quadratischen Straffunktion vor größeren Änderungen geschützt. Empirische Auswertungen zeigen, dass EWC katastrophales Vergessen von rund 12,6 % auf 6,85 % reduziert [3] – eine deutliche, aber keine vollständige Lösung, was in Kapitel 10 als offenes Risiko benannt wird. Ergänzend wird ein „Surprise“-gesteuerter Langzeitgedächtnis-Mechanismus nach dem Vorbild der Titans-Architektur von Google Research genutzt: Information wird bevorzugt dauerhaft festgeschrieben, wenn sie stark von den bisherigen Modellvorhersagen abweicht [3].</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4400"/>
        <w:gridCol w:w="1700"/>
        <w:gridCol w:w="850"/>
      </w:tblGrid>
      <w:tr>
        <w:trPr>
          <w:tblHeader/>
        </w:trPr>
        <w:tc>
          <w:tcPr>
            <w:tcW w:type="dxa" w:w="2400"/>
            <w:shd w:fill="1F4E5F" w:val="clear"/>
            <w:tcMar>
              <w:top w:type="dxa" w:w="100"/>
              <w:left w:type="dxa" w:w="120"/>
              <w:bottom w:type="dxa" w:w="100"/>
              <w:right w:type="dxa" w:w="120"/>
            </w:tcMar>
            <w:vAlign w:val="center"/>
          </w:tcPr>
          <w:p>
            <w:r>
              <w:rPr>
                <w:b/>
                <w:bCs/>
                <w:color w:val="FFFFFF"/>
                <w:sz w:val="19"/>
                <w:szCs w:val="19"/>
              </w:rPr>
              <w:t xml:space="preserve">Geschwindigkeit</w:t>
            </w:r>
          </w:p>
        </w:tc>
        <w:tc>
          <w:tcPr>
            <w:tcW w:type="dxa" w:w="4400"/>
            <w:shd w:fill="1F4E5F" w:val="clear"/>
            <w:tcMar>
              <w:top w:type="dxa" w:w="100"/>
              <w:left w:type="dxa" w:w="120"/>
              <w:bottom w:type="dxa" w:w="100"/>
              <w:right w:type="dxa" w:w="120"/>
            </w:tcMar>
            <w:vAlign w:val="center"/>
          </w:tcPr>
          <w:p>
            <w:r>
              <w:rPr>
                <w:b/>
                <w:bCs/>
                <w:color w:val="FFFFFF"/>
                <w:sz w:val="19"/>
                <w:szCs w:val="19"/>
              </w:rPr>
              <w:t xml:space="preserve">Mechanismus</w:t>
            </w:r>
          </w:p>
        </w:tc>
        <w:tc>
          <w:tcPr>
            <w:tcW w:type="dxa" w:w="1700"/>
            <w:shd w:fill="1F4E5F" w:val="clear"/>
            <w:tcMar>
              <w:top w:type="dxa" w:w="100"/>
              <w:left w:type="dxa" w:w="120"/>
              <w:bottom w:type="dxa" w:w="100"/>
              <w:right w:type="dxa" w:w="120"/>
            </w:tcMar>
            <w:vAlign w:val="center"/>
          </w:tcPr>
          <w:p>
            <w:r>
              <w:rPr>
                <w:b/>
                <w:bCs/>
                <w:color w:val="FFFFFF"/>
                <w:sz w:val="19"/>
                <w:szCs w:val="19"/>
              </w:rPr>
              <w:t xml:space="preserve">Zykluszeit</w:t>
            </w:r>
          </w:p>
        </w:tc>
        <w:tc>
          <w:tcPr>
            <w:tcW w:type="dxa" w:w="850"/>
            <w:shd w:fill="1F4E5F" w:val="clear"/>
            <w:tcMar>
              <w:top w:type="dxa" w:w="100"/>
              <w:left w:type="dxa" w:w="120"/>
              <w:bottom w:type="dxa" w:w="100"/>
              <w:right w:type="dxa" w:w="120"/>
            </w:tcMar>
            <w:vAlign w:val="center"/>
          </w:tcPr>
          <w:p>
            <w:r>
              <w:rPr>
                <w:b/>
                <w:bCs/>
                <w:color w:val="FFFFFF"/>
                <w:sz w:val="19"/>
                <w:szCs w:val="19"/>
              </w:rPr>
              <w:t xml:space="preserve">Stabilität</w:t>
            </w:r>
          </w:p>
        </w:tc>
      </w:tr>
      <w:tr>
        <w:tc>
          <w:tcPr>
            <w:tcW w:type="dxa" w:w="2400"/>
            <w:shd w:fill="FFFFFF" w:val="clear"/>
            <w:tcMar>
              <w:top w:type="dxa" w:w="90"/>
              <w:left w:type="dxa" w:w="120"/>
              <w:bottom w:type="dxa" w:w="90"/>
              <w:right w:type="dxa" w:w="120"/>
            </w:tcMar>
            <w:vAlign w:val="center"/>
          </w:tcPr>
          <w:p>
            <w:r>
              <w:rPr>
                <w:sz w:val="18"/>
                <w:szCs w:val="18"/>
              </w:rPr>
              <w:t xml:space="preserve">1 – Sofort</w:t>
            </w:r>
          </w:p>
        </w:tc>
        <w:tc>
          <w:tcPr>
            <w:tcW w:type="dxa" w:w="4400"/>
            <w:shd w:fill="FFFFFF" w:val="clear"/>
            <w:tcMar>
              <w:top w:type="dxa" w:w="90"/>
              <w:left w:type="dxa" w:w="120"/>
              <w:bottom w:type="dxa" w:w="90"/>
              <w:right w:type="dxa" w:w="120"/>
            </w:tcMar>
            <w:vAlign w:val="center"/>
          </w:tcPr>
          <w:p>
            <w:r>
              <w:rPr>
                <w:sz w:val="18"/>
                <w:szCs w:val="18"/>
              </w:rPr>
              <w:t xml:space="preserve">Token-Raum / editierbares Kerngedächtnis (Letta-Stil)</w:t>
            </w:r>
          </w:p>
        </w:tc>
        <w:tc>
          <w:tcPr>
            <w:tcW w:type="dxa" w:w="1700"/>
            <w:shd w:fill="FFFFFF" w:val="clear"/>
            <w:tcMar>
              <w:top w:type="dxa" w:w="90"/>
              <w:left w:type="dxa" w:w="120"/>
              <w:bottom w:type="dxa" w:w="90"/>
              <w:right w:type="dxa" w:w="120"/>
            </w:tcMar>
            <w:vAlign w:val="center"/>
          </w:tcPr>
          <w:p>
            <w:r>
              <w:rPr>
                <w:sz w:val="18"/>
                <w:szCs w:val="18"/>
              </w:rPr>
              <w:t xml:space="preserve">Sekunden–Minuten</w:t>
            </w:r>
          </w:p>
        </w:tc>
        <w:tc>
          <w:tcPr>
            <w:tcW w:type="dxa" w:w="850"/>
            <w:shd w:fill="FFFFFF" w:val="clear"/>
            <w:tcMar>
              <w:top w:type="dxa" w:w="90"/>
              <w:left w:type="dxa" w:w="120"/>
              <w:bottom w:type="dxa" w:w="90"/>
              <w:right w:type="dxa" w:w="120"/>
            </w:tcMar>
            <w:vAlign w:val="center"/>
          </w:tcPr>
          <w:p>
            <w:r>
              <w:rPr>
                <w:sz w:val="18"/>
                <w:szCs w:val="18"/>
              </w:rPr>
              <w:t xml:space="preserve">Sehr hoch (kein Gewichts-Update)</w:t>
            </w:r>
          </w:p>
        </w:tc>
      </w:tr>
      <w:tr>
        <w:tc>
          <w:tcPr>
            <w:tcW w:type="dxa" w:w="2400"/>
            <w:shd w:fill="F7F9F9" w:val="clear"/>
            <w:tcMar>
              <w:top w:type="dxa" w:w="90"/>
              <w:left w:type="dxa" w:w="120"/>
              <w:bottom w:type="dxa" w:w="90"/>
              <w:right w:type="dxa" w:w="120"/>
            </w:tcMar>
            <w:vAlign w:val="center"/>
          </w:tcPr>
          <w:p>
            <w:r>
              <w:rPr>
                <w:sz w:val="18"/>
                <w:szCs w:val="18"/>
              </w:rPr>
              <w:t xml:space="preserve">2 – Fähigkeitsaufbau</w:t>
            </w:r>
          </w:p>
        </w:tc>
        <w:tc>
          <w:tcPr>
            <w:tcW w:type="dxa" w:w="4400"/>
            <w:shd w:fill="F7F9F9" w:val="clear"/>
            <w:tcMar>
              <w:top w:type="dxa" w:w="90"/>
              <w:left w:type="dxa" w:w="120"/>
              <w:bottom w:type="dxa" w:w="90"/>
              <w:right w:type="dxa" w:w="120"/>
            </w:tcMar>
            <w:vAlign w:val="center"/>
          </w:tcPr>
          <w:p>
            <w:r>
              <w:rPr>
                <w:sz w:val="18"/>
                <w:szCs w:val="18"/>
              </w:rPr>
              <w:t xml:space="preserve">LoRA-Adapter + O-LoRA + Contextual Experience Replay</w:t>
            </w:r>
          </w:p>
        </w:tc>
        <w:tc>
          <w:tcPr>
            <w:tcW w:type="dxa" w:w="1700"/>
            <w:shd w:fill="F7F9F9" w:val="clear"/>
            <w:tcMar>
              <w:top w:type="dxa" w:w="90"/>
              <w:left w:type="dxa" w:w="120"/>
              <w:bottom w:type="dxa" w:w="90"/>
              <w:right w:type="dxa" w:w="120"/>
            </w:tcMar>
            <w:vAlign w:val="center"/>
          </w:tcPr>
          <w:p>
            <w:r>
              <w:rPr>
                <w:sz w:val="18"/>
                <w:szCs w:val="18"/>
              </w:rPr>
              <w:t xml:space="preserve">Täglich–wöchentlich</w:t>
            </w:r>
          </w:p>
        </w:tc>
        <w:tc>
          <w:tcPr>
            <w:tcW w:type="dxa" w:w="850"/>
            <w:shd w:fill="F7F9F9" w:val="clear"/>
            <w:tcMar>
              <w:top w:type="dxa" w:w="90"/>
              <w:left w:type="dxa" w:w="120"/>
              <w:bottom w:type="dxa" w:w="90"/>
              <w:right w:type="dxa" w:w="120"/>
            </w:tcMar>
            <w:vAlign w:val="center"/>
          </w:tcPr>
          <w:p>
            <w:r>
              <w:rPr>
                <w:sz w:val="18"/>
                <w:szCs w:val="18"/>
              </w:rPr>
              <w:t xml:space="preserve">Hoch</w:t>
            </w:r>
          </w:p>
        </w:tc>
      </w:tr>
      <w:tr>
        <w:tc>
          <w:tcPr>
            <w:tcW w:type="dxa" w:w="2400"/>
            <w:shd w:fill="FFFFFF" w:val="clear"/>
            <w:tcMar>
              <w:top w:type="dxa" w:w="90"/>
              <w:left w:type="dxa" w:w="120"/>
              <w:bottom w:type="dxa" w:w="90"/>
              <w:right w:type="dxa" w:w="120"/>
            </w:tcMar>
            <w:vAlign w:val="center"/>
          </w:tcPr>
          <w:p>
            <w:r>
              <w:rPr>
                <w:sz w:val="18"/>
                <w:szCs w:val="18"/>
              </w:rPr>
              <w:t xml:space="preserve">3 – Konsolidierung</w:t>
            </w:r>
          </w:p>
        </w:tc>
        <w:tc>
          <w:tcPr>
            <w:tcW w:type="dxa" w:w="4400"/>
            <w:shd w:fill="FFFFFF" w:val="clear"/>
            <w:tcMar>
              <w:top w:type="dxa" w:w="90"/>
              <w:left w:type="dxa" w:w="120"/>
              <w:bottom w:type="dxa" w:w="90"/>
              <w:right w:type="dxa" w:w="120"/>
            </w:tcMar>
            <w:vAlign w:val="center"/>
          </w:tcPr>
          <w:p>
            <w:r>
              <w:rPr>
                <w:sz w:val="18"/>
                <w:szCs w:val="18"/>
              </w:rPr>
              <w:t xml:space="preserve">Distillation + EWC (Fisher-Info-Regularisierung) + Titans-Gate</w:t>
            </w:r>
          </w:p>
        </w:tc>
        <w:tc>
          <w:tcPr>
            <w:tcW w:type="dxa" w:w="1700"/>
            <w:shd w:fill="FFFFFF" w:val="clear"/>
            <w:tcMar>
              <w:top w:type="dxa" w:w="90"/>
              <w:left w:type="dxa" w:w="120"/>
              <w:bottom w:type="dxa" w:w="90"/>
              <w:right w:type="dxa" w:w="120"/>
            </w:tcMar>
            <w:vAlign w:val="center"/>
          </w:tcPr>
          <w:p>
            <w:r>
              <w:rPr>
                <w:sz w:val="18"/>
                <w:szCs w:val="18"/>
              </w:rPr>
              <w:t xml:space="preserve">Quartalsweise</w:t>
            </w:r>
          </w:p>
        </w:tc>
        <w:tc>
          <w:tcPr>
            <w:tcW w:type="dxa" w:w="850"/>
            <w:shd w:fill="FFFFFF" w:val="clear"/>
            <w:tcMar>
              <w:top w:type="dxa" w:w="90"/>
              <w:left w:type="dxa" w:w="120"/>
              <w:bottom w:type="dxa" w:w="90"/>
              <w:right w:type="dxa" w:w="120"/>
            </w:tcMar>
            <w:vAlign w:val="center"/>
          </w:tcPr>
          <w:p>
            <w:r>
              <w:rPr>
                <w:sz w:val="18"/>
                <w:szCs w:val="18"/>
              </w:rPr>
              <w:t xml:space="preserve">Mittel (Restrisiko Vergessen)</w:t>
            </w:r>
          </w:p>
        </w:tc>
      </w:tr>
    </w:tbl>
    <w:p>
      <w:pPr>
        <w:pStyle w:val="Heading2"/>
      </w:pPr>
      <w:r>
        <w:t xml:space="preserve">5.4 Hypothesengenerierung &amp; Multi-Agenten-Forschungsteam</w:t>
      </w:r>
    </w:p>
    <w:p>
      <w:pPr>
        <w:spacing w:after="200" w:line="288"/>
      </w:pPr>
      <w:r>
        <w:t xml:space="preserve">Analog zum „AI Co-Scientist“-Ansatz von Google DeepMind arbeitet CONTINUUM mit mehreren spezialisierten Teilagenten in einem Turnierverfahren: ein Generierungsagent schlägt Hypothesen vor, ein Reflexionsagent prüft sie kritisch gegen Literatur und Gedächtnis, ein Ranking-Agent bewertet Neuheit, Plausibilität und Testbarkeit, ein Evolutionsagent kombiniert und verfeinert die vielversprechendsten Kandidaten über mehrere Runden [4]. Dieser Prozess ist bewusst nicht ein einzelner Modellaufruf, sondern ein deliberativer Mehrschritt-Prozess, der die Qualität der Hypothesen empirisch nachweisbar erhöht.</w:t>
      </w:r>
    </w:p>
    <w:p>
      <w:pPr>
        <w:pStyle w:val="Heading2"/>
      </w:pPr>
      <w:r>
        <w:t xml:space="preserve">5.5 Robotische Ausführungsschicht (Self-Driving Lab)</w:t>
      </w:r>
    </w:p>
    <w:p>
      <w:pPr>
        <w:spacing w:after="200" w:line="288"/>
      </w:pPr>
      <w:r>
        <w:t xml:space="preserve">Die physische Umsetzung folgt der inzwischen etablierten Architektur geschlossener autonomer Labore: ein KI-Orchestrator plant Experimente und wertet Ergebnisse in Echtzeit aus, robotische Greifarme und Flüssigkeitshandhabungssysteme führen Synthesen aus, integrierte Sensorik überwacht Reaktionen kontinuierlich, und eine Cloud-Infrastruktur verwaltet die anfallenden Datenmengen [5]. Entscheidend ist der geschlossene Charakter der Schleife: Das System folgt keinem festen Skript, sondern passt die nächsten Parameter direkt auf Basis der letzten Ergebnisse an – ohne Verzögerung zwischen Datenerhebung und Hypothesenanpassung [5].</w:t>
      </w:r>
    </w:p>
    <w:p>
      <w:pPr>
        <w:spacing w:after="200" w:line="288"/>
      </w:pPr>
      <w:r>
        <w:t xml:space="preserve">Bekannte Engpässe dieses Ansatzes – die „Blackbox“-Natur robotischer Entscheidungen, hohe Investitionskosten und die Notwendigkeit, dass menschliche Forschende von Ausführenden zu System-Architekt:innen werden [5] – werden in CONTINUUM nicht ignoriert, sondern direkt in der Verifikations- und Governance-Schicht adressiert (siehe 5.6 und 5.7).</w:t>
      </w:r>
    </w:p>
    <w:p>
      <w:pPr>
        <w:pStyle w:val="Heading2"/>
      </w:pPr>
      <w:r>
        <w:t xml:space="preserve">5.6 Verifikations- und Anti-Halluzinations-Schicht</w:t>
      </w:r>
    </w:p>
    <w:p>
      <w:pPr>
        <w:spacing w:after="200" w:line="288"/>
      </w:pPr>
      <w:r>
        <w:t xml:space="preserve">Um der in Kapitel 2.3 beschriebenen Halluzinationsproblematik zu begegnen, gilt für CONTINUUM ein strenges Grundprinzip: keine unbelegte Behauptung. Jede Ausgabe – ob an Menschen gerichtet oder als Auslöser eines Experiments – wird mit exakt einer von drei Herkunftskennzeichnungen versehen:</w:t>
      </w:r>
    </w:p>
    <w:p>
      <w:pPr>
        <w:pStyle w:val="ListParagraph"/>
        <w:numPr>
          <w:ilvl w:val="0"/>
          <w:numId w:val="2"/>
        </w:numPr>
        <w:spacing w:after="120" w:line="276"/>
      </w:pPr>
      <w:r>
        <w:t xml:space="preserve">Experimentell bestätigt: mit Verweis auf die konkrete Messung und deren Reproduzierbarkeit.</w:t>
      </w:r>
    </w:p>
    <w:p>
      <w:pPr>
        <w:pStyle w:val="ListParagraph"/>
        <w:numPr>
          <w:ilvl w:val="0"/>
          <w:numId w:val="2"/>
        </w:numPr>
        <w:spacing w:after="120" w:line="276"/>
      </w:pPr>
      <w:r>
        <w:t xml:space="preserve">Modellvorhersage mit kalibrierter Unsicherheit: als Wahrscheinlichkeitsverteilung, nicht als Punktbehauptung.</w:t>
      </w:r>
    </w:p>
    <w:p>
      <w:pPr>
        <w:pStyle w:val="ListParagraph"/>
        <w:numPr>
          <w:ilvl w:val="0"/>
          <w:numId w:val="2"/>
        </w:numPr>
        <w:spacing w:after="120" w:line="276"/>
      </w:pPr>
      <w:r>
        <w:t xml:space="preserve">Literaturzitat: mit vollständiger Quellenangabe und Bewertung der Quellenqualität.</w:t>
      </w:r>
    </w:p>
    <w:p>
      <w:pPr>
        <w:spacing w:after="200" w:line="288"/>
      </w:pPr>
      <w:r>
        <w:t xml:space="preserve">Ein dedizierter Verifikations-Subagent prüft jede Aussage gegen einen Evidenzgraphen, bevor sie das System verlässt oder ein kostspieliges physisches Experiment auslöst. Da jedes physische Experiment reale Kosten verursacht, entsteht dadurch ein natürlicher ökonomischer Druck zur Selbstkalibrierung: Ein System, das systematisch überzuversichtlich ist, verschwendet Laborressourcen auf falsifizierte Hypothesen – ein Signal, das direkt in die Bewertungsschicht (Kapitel 7) einfließt.</w:t>
      </w:r>
    </w:p>
    <w:p>
      <w:pPr>
        <w:pStyle w:val="Heading2"/>
      </w:pPr>
      <w:r>
        <w:t xml:space="preserve">5.7 Sicherheits- und Governance-Schicht</w:t>
      </w:r>
    </w:p>
    <w:p>
      <w:pPr>
        <w:spacing w:after="200" w:line="288"/>
      </w:pPr>
      <w:r>
        <w:t xml:space="preserve">Die Governance-Schicht ist keine nachträgliche Ergänzung, sondern eine Bedingung, unter der jede andere Komponente überhaupt operieren darf:</w:t>
      </w:r>
    </w:p>
    <w:p>
      <w:pPr>
        <w:pStyle w:val="ListParagraph"/>
        <w:numPr>
          <w:ilvl w:val="0"/>
          <w:numId w:val="2"/>
        </w:numPr>
        <w:spacing w:after="120" w:line="276"/>
      </w:pPr>
      <w:r>
        <w:t xml:space="preserve">Gefahrstoff-Screening vor jeder Synthese: Jede vorgeschlagene Zusammensetzung wird gegen eine Datenbank toxischer, explosiver oder anderweitig regulierter Vorstufen geprüft, bevor ein Roboter aktiv wird.</w:t>
      </w:r>
    </w:p>
    <w:p>
      <w:pPr>
        <w:pStyle w:val="ListParagraph"/>
        <w:numPr>
          <w:ilvl w:val="0"/>
          <w:numId w:val="2"/>
        </w:numPr>
        <w:spacing w:after="120" w:line="276"/>
      </w:pPr>
      <w:r>
        <w:t xml:space="preserve">Freigabe-Schwellen: Experimente oberhalb definierter Kosten-, Mengen- oder Risikoschwellen erfordern explizite menschliche Freigabe, unabhängig davon, wie „sicher“ sich das System selbst einschätzt.</w:t>
      </w:r>
    </w:p>
    <w:p>
      <w:pPr>
        <w:pStyle w:val="ListParagraph"/>
        <w:numPr>
          <w:ilvl w:val="0"/>
          <w:numId w:val="2"/>
        </w:numPr>
        <w:spacing w:after="120" w:line="276"/>
      </w:pPr>
      <w:r>
        <w:t xml:space="preserve">Vollständige Auditierbarkeit: jeder Speicher-Schreibvorgang, jedes Modell-Update und jede Experimentfreigabe wird mit Zeitstempel, auslösendem Kontext und verantwortlicher Komponente protokolliert.</w:t>
      </w:r>
    </w:p>
    <w:p>
      <w:pPr>
        <w:pStyle w:val="ListParagraph"/>
        <w:numPr>
          <w:ilvl w:val="0"/>
          <w:numId w:val="2"/>
        </w:numPr>
        <w:spacing w:after="120" w:line="276"/>
      </w:pPr>
      <w:r>
        <w:t xml:space="preserve">Erklärbarkeits-Pflicht: jede Experimentempfehlung muss eine nachvollziehbare Begründungskette mitliefern – als direkte Antwort auf das in 5.5 genannte Blackbox-Problem autonomer Labore.</w:t>
      </w:r>
    </w:p>
    <w:p>
      <w:pPr>
        <w:pStyle w:val="ListParagraph"/>
        <w:numPr>
          <w:ilvl w:val="0"/>
          <w:numId w:val="2"/>
        </w:numPr>
        <w:spacing w:after="120" w:line="276"/>
      </w:pPr>
      <w:r>
        <w:t xml:space="preserve">Rollback-Fähigkeit: da das Gedächtnis- und Adaptersystem versioniert ist, kann jeder Konsolidierungsschritt (Geschwindigkeit 3) bei Bedarf vollständig zurückgerollt werden.</w:t>
      </w:r>
    </w:p>
    <w:p>
      <w:r>
        <w:br w:type="page"/>
      </w:r>
    </w:p>
    <w:p>
      <w:pPr>
        <w:pStyle w:val="Heading1"/>
      </w:pPr>
      <w:r>
        <w:t xml:space="preserve">6. Evaluierung &amp; Metriken</w:t>
      </w:r>
    </w:p>
    <w:p>
      <w:pPr>
        <w:spacing w:after="200" w:line="288"/>
      </w:pPr>
      <w:r>
        <w:t xml:space="preserve">Ein System, das für sich beansprucht, kontinuierlich zu lernen, muss diesen Anspruch messbar machen – sonst bleibt „technisch perfekt“ eine leere Behauptung. CONTINUUM übernimmt dafür einen vierschichtigen Bewertungsrahmen aus der aktuellen Agenten-Gedächtnis-Forschung [2] und ergänzt ihn um domänenspezifische wissenschaftliche Validitätsmetriken.</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4550"/>
        <w:gridCol w:w="2600"/>
      </w:tblGrid>
      <w:tr>
        <w:trPr>
          <w:tblHeader/>
        </w:trPr>
        <w:tc>
          <w:tcPr>
            <w:tcW w:type="dxa" w:w="2200"/>
            <w:shd w:fill="1F4E5F" w:val="clear"/>
            <w:tcMar>
              <w:top w:type="dxa" w:w="100"/>
              <w:left w:type="dxa" w:w="120"/>
              <w:bottom w:type="dxa" w:w="100"/>
              <w:right w:type="dxa" w:w="120"/>
            </w:tcMar>
            <w:vAlign w:val="center"/>
          </w:tcPr>
          <w:p>
            <w:r>
              <w:rPr>
                <w:b/>
                <w:bCs/>
                <w:color w:val="FFFFFF"/>
                <w:sz w:val="19"/>
                <w:szCs w:val="19"/>
              </w:rPr>
              <w:t xml:space="preserve">Ebene</w:t>
            </w:r>
          </w:p>
        </w:tc>
        <w:tc>
          <w:tcPr>
            <w:tcW w:type="dxa" w:w="4550"/>
            <w:shd w:fill="1F4E5F" w:val="clear"/>
            <w:tcMar>
              <w:top w:type="dxa" w:w="100"/>
              <w:left w:type="dxa" w:w="120"/>
              <w:bottom w:type="dxa" w:w="100"/>
              <w:right w:type="dxa" w:w="120"/>
            </w:tcMar>
            <w:vAlign w:val="center"/>
          </w:tcPr>
          <w:p>
            <w:r>
              <w:rPr>
                <w:b/>
                <w:bCs/>
                <w:color w:val="FFFFFF"/>
                <w:sz w:val="19"/>
                <w:szCs w:val="19"/>
              </w:rPr>
              <w:t xml:space="preserve">Metrik</w:t>
            </w:r>
          </w:p>
        </w:tc>
        <w:tc>
          <w:tcPr>
            <w:tcW w:type="dxa" w:w="2600"/>
            <w:shd w:fill="1F4E5F" w:val="clear"/>
            <w:tcMar>
              <w:top w:type="dxa" w:w="100"/>
              <w:left w:type="dxa" w:w="120"/>
              <w:bottom w:type="dxa" w:w="100"/>
              <w:right w:type="dxa" w:w="120"/>
            </w:tcMar>
            <w:vAlign w:val="center"/>
          </w:tcPr>
          <w:p>
            <w:r>
              <w:rPr>
                <w:b/>
                <w:bCs/>
                <w:color w:val="FFFFFF"/>
                <w:sz w:val="19"/>
                <w:szCs w:val="19"/>
              </w:rPr>
              <w:t xml:space="preserve">Zielwert / Bedeutung</w:t>
            </w:r>
          </w:p>
        </w:tc>
      </w:tr>
      <w:tr>
        <w:tc>
          <w:tcPr>
            <w:tcW w:type="dxa" w:w="2200"/>
            <w:shd w:fill="FFFFFF" w:val="clear"/>
            <w:tcMar>
              <w:top w:type="dxa" w:w="90"/>
              <w:left w:type="dxa" w:w="120"/>
              <w:bottom w:type="dxa" w:w="90"/>
              <w:right w:type="dxa" w:w="120"/>
            </w:tcMar>
            <w:vAlign w:val="center"/>
          </w:tcPr>
          <w:p>
            <w:r>
              <w:rPr>
                <w:sz w:val="18"/>
                <w:szCs w:val="18"/>
              </w:rPr>
              <w:t xml:space="preserve">1. Aufgabenerfolg</w:t>
            </w:r>
          </w:p>
        </w:tc>
        <w:tc>
          <w:tcPr>
            <w:tcW w:type="dxa" w:w="4550"/>
            <w:shd w:fill="FFFFFF" w:val="clear"/>
            <w:tcMar>
              <w:top w:type="dxa" w:w="90"/>
              <w:left w:type="dxa" w:w="120"/>
              <w:bottom w:type="dxa" w:w="90"/>
              <w:right w:type="dxa" w:w="120"/>
            </w:tcMar>
            <w:vAlign w:val="center"/>
          </w:tcPr>
          <w:p>
            <w:r>
              <w:rPr>
                <w:sz w:val="18"/>
                <w:szCs w:val="18"/>
              </w:rPr>
              <w:t xml:space="preserve">Trefferquote experimentell bestätigter Hypothesen pro Laborstunde</w:t>
            </w:r>
          </w:p>
        </w:tc>
        <w:tc>
          <w:tcPr>
            <w:tcW w:type="dxa" w:w="2600"/>
            <w:shd w:fill="FFFFFF" w:val="clear"/>
            <w:tcMar>
              <w:top w:type="dxa" w:w="90"/>
              <w:left w:type="dxa" w:w="120"/>
              <w:bottom w:type="dxa" w:w="90"/>
              <w:right w:type="dxa" w:w="120"/>
            </w:tcMar>
            <w:vAlign w:val="center"/>
          </w:tcPr>
          <w:p>
            <w:r>
              <w:rPr>
                <w:sz w:val="18"/>
                <w:szCs w:val="18"/>
              </w:rPr>
              <w:t xml:space="preserve">Steigende Trendlinie über Quartale hinweg</w:t>
            </w:r>
          </w:p>
        </w:tc>
      </w:tr>
      <w:tr>
        <w:tc>
          <w:tcPr>
            <w:tcW w:type="dxa" w:w="2200"/>
            <w:shd w:fill="F7F9F9" w:val="clear"/>
            <w:tcMar>
              <w:top w:type="dxa" w:w="90"/>
              <w:left w:type="dxa" w:w="120"/>
              <w:bottom w:type="dxa" w:w="90"/>
              <w:right w:type="dxa" w:w="120"/>
            </w:tcMar>
            <w:vAlign w:val="center"/>
          </w:tcPr>
          <w:p>
            <w:r>
              <w:rPr>
                <w:sz w:val="18"/>
                <w:szCs w:val="18"/>
              </w:rPr>
              <w:t xml:space="preserve">1. Aufgabenerfolg</w:t>
            </w:r>
          </w:p>
        </w:tc>
        <w:tc>
          <w:tcPr>
            <w:tcW w:type="dxa" w:w="4550"/>
            <w:shd w:fill="F7F9F9" w:val="clear"/>
            <w:tcMar>
              <w:top w:type="dxa" w:w="90"/>
              <w:left w:type="dxa" w:w="120"/>
              <w:bottom w:type="dxa" w:w="90"/>
              <w:right w:type="dxa" w:w="120"/>
            </w:tcMar>
            <w:vAlign w:val="center"/>
          </w:tcPr>
          <w:p>
            <w:r>
              <w:rPr>
                <w:sz w:val="18"/>
                <w:szCs w:val="18"/>
              </w:rPr>
              <w:t xml:space="preserve">Zeit bis zur Entdeckung vs. menschliche Baseline</w:t>
            </w:r>
          </w:p>
        </w:tc>
        <w:tc>
          <w:tcPr>
            <w:tcW w:type="dxa" w:w="2600"/>
            <w:shd w:fill="F7F9F9" w:val="clear"/>
            <w:tcMar>
              <w:top w:type="dxa" w:w="90"/>
              <w:left w:type="dxa" w:w="120"/>
              <w:bottom w:type="dxa" w:w="90"/>
              <w:right w:type="dxa" w:w="120"/>
            </w:tcMar>
            <w:vAlign w:val="center"/>
          </w:tcPr>
          <w:p>
            <w:r>
              <w:rPr>
                <w:sz w:val="18"/>
                <w:szCs w:val="18"/>
              </w:rPr>
              <w:t xml:space="preserve">Verkürzung um Faktor X pro Materialklasse</w:t>
            </w:r>
          </w:p>
        </w:tc>
      </w:tr>
      <w:tr>
        <w:tc>
          <w:tcPr>
            <w:tcW w:type="dxa" w:w="2200"/>
            <w:shd w:fill="FFFFFF" w:val="clear"/>
            <w:tcMar>
              <w:top w:type="dxa" w:w="90"/>
              <w:left w:type="dxa" w:w="120"/>
              <w:bottom w:type="dxa" w:w="90"/>
              <w:right w:type="dxa" w:w="120"/>
            </w:tcMar>
            <w:vAlign w:val="center"/>
          </w:tcPr>
          <w:p>
            <w:r>
              <w:rPr>
                <w:sz w:val="18"/>
                <w:szCs w:val="18"/>
              </w:rPr>
              <w:t xml:space="preserve">2. Gedächtnisqualität</w:t>
            </w:r>
          </w:p>
        </w:tc>
        <w:tc>
          <w:tcPr>
            <w:tcW w:type="dxa" w:w="4550"/>
            <w:shd w:fill="FFFFFF" w:val="clear"/>
            <w:tcMar>
              <w:top w:type="dxa" w:w="90"/>
              <w:left w:type="dxa" w:w="120"/>
              <w:bottom w:type="dxa" w:w="90"/>
              <w:right w:type="dxa" w:w="120"/>
            </w:tcMar>
            <w:vAlign w:val="center"/>
          </w:tcPr>
          <w:p>
            <w:r>
              <w:rPr>
                <w:sz w:val="18"/>
                <w:szCs w:val="18"/>
              </w:rPr>
              <w:t xml:space="preserve">Precision/Recall bei Abruf-Tests, Widerspruchsrate, Veralterungsgrad</w:t>
            </w:r>
          </w:p>
        </w:tc>
        <w:tc>
          <w:tcPr>
            <w:tcW w:type="dxa" w:w="2600"/>
            <w:shd w:fill="FFFFFF" w:val="clear"/>
            <w:tcMar>
              <w:top w:type="dxa" w:w="90"/>
              <w:left w:type="dxa" w:w="120"/>
              <w:bottom w:type="dxa" w:w="90"/>
              <w:right w:type="dxa" w:w="120"/>
            </w:tcMar>
            <w:vAlign w:val="center"/>
          </w:tcPr>
          <w:p>
            <w:r>
              <w:rPr>
                <w:sz w:val="18"/>
                <w:szCs w:val="18"/>
              </w:rPr>
              <w:t xml:space="preserve">Widerspruchsrate &lt; definierter Schwelle</w:t>
            </w:r>
          </w:p>
        </w:tc>
      </w:tr>
      <w:tr>
        <w:tc>
          <w:tcPr>
            <w:tcW w:type="dxa" w:w="2200"/>
            <w:shd w:fill="F7F9F9" w:val="clear"/>
            <w:tcMar>
              <w:top w:type="dxa" w:w="90"/>
              <w:left w:type="dxa" w:w="120"/>
              <w:bottom w:type="dxa" w:w="90"/>
              <w:right w:type="dxa" w:w="120"/>
            </w:tcMar>
            <w:vAlign w:val="center"/>
          </w:tcPr>
          <w:p>
            <w:r>
              <w:rPr>
                <w:sz w:val="18"/>
                <w:szCs w:val="18"/>
              </w:rPr>
              <w:t xml:space="preserve">3. Effizienz</w:t>
            </w:r>
          </w:p>
        </w:tc>
        <w:tc>
          <w:tcPr>
            <w:tcW w:type="dxa" w:w="4550"/>
            <w:shd w:fill="F7F9F9" w:val="clear"/>
            <w:tcMar>
              <w:top w:type="dxa" w:w="90"/>
              <w:left w:type="dxa" w:w="120"/>
              <w:bottom w:type="dxa" w:w="90"/>
              <w:right w:type="dxa" w:w="120"/>
            </w:tcMar>
            <w:vAlign w:val="center"/>
          </w:tcPr>
          <w:p>
            <w:r>
              <w:rPr>
                <w:sz w:val="18"/>
                <w:szCs w:val="18"/>
              </w:rPr>
              <w:t xml:space="preserve">Kosten pro validierter Hypothese, Latenz, Speicherwachstum</w:t>
            </w:r>
          </w:p>
        </w:tc>
        <w:tc>
          <w:tcPr>
            <w:tcW w:type="dxa" w:w="2600"/>
            <w:shd w:fill="F7F9F9" w:val="clear"/>
            <w:tcMar>
              <w:top w:type="dxa" w:w="90"/>
              <w:left w:type="dxa" w:w="120"/>
              <w:bottom w:type="dxa" w:w="90"/>
              <w:right w:type="dxa" w:w="120"/>
            </w:tcMar>
            <w:vAlign w:val="center"/>
          </w:tcPr>
          <w:p>
            <w:r>
              <w:rPr>
                <w:sz w:val="18"/>
                <w:szCs w:val="18"/>
              </w:rPr>
              <w:t xml:space="preserve">Sinkende Kosten pro Entdeckung über Zeit</w:t>
            </w:r>
          </w:p>
        </w:tc>
      </w:tr>
      <w:tr>
        <w:tc>
          <w:tcPr>
            <w:tcW w:type="dxa" w:w="2200"/>
            <w:shd w:fill="FFFFFF" w:val="clear"/>
            <w:tcMar>
              <w:top w:type="dxa" w:w="90"/>
              <w:left w:type="dxa" w:w="120"/>
              <w:bottom w:type="dxa" w:w="90"/>
              <w:right w:type="dxa" w:w="120"/>
            </w:tcMar>
            <w:vAlign w:val="center"/>
          </w:tcPr>
          <w:p>
            <w:r>
              <w:rPr>
                <w:sz w:val="18"/>
                <w:szCs w:val="18"/>
              </w:rPr>
              <w:t xml:space="preserve">4. Governance</w:t>
            </w:r>
          </w:p>
        </w:tc>
        <w:tc>
          <w:tcPr>
            <w:tcW w:type="dxa" w:w="4550"/>
            <w:shd w:fill="FFFFFF" w:val="clear"/>
            <w:tcMar>
              <w:top w:type="dxa" w:w="90"/>
              <w:left w:type="dxa" w:w="120"/>
              <w:bottom w:type="dxa" w:w="90"/>
              <w:right w:type="dxa" w:w="120"/>
            </w:tcMar>
            <w:vAlign w:val="center"/>
          </w:tcPr>
          <w:p>
            <w:r>
              <w:rPr>
                <w:sz w:val="18"/>
                <w:szCs w:val="18"/>
              </w:rPr>
              <w:t xml:space="preserve">Vollständigkeit der Audit-Logs, Einhaltung der Freigabe-Schwellen</w:t>
            </w:r>
          </w:p>
        </w:tc>
        <w:tc>
          <w:tcPr>
            <w:tcW w:type="dxa" w:w="2600"/>
            <w:shd w:fill="FFFFFF" w:val="clear"/>
            <w:tcMar>
              <w:top w:type="dxa" w:w="90"/>
              <w:left w:type="dxa" w:w="120"/>
              <w:bottom w:type="dxa" w:w="90"/>
              <w:right w:type="dxa" w:w="120"/>
            </w:tcMar>
            <w:vAlign w:val="center"/>
          </w:tcPr>
          <w:p>
            <w:r>
              <w:rPr>
                <w:sz w:val="18"/>
                <w:szCs w:val="18"/>
              </w:rPr>
              <w:t xml:space="preserve">100 % Protokollabdeckung</w:t>
            </w:r>
          </w:p>
        </w:tc>
      </w:tr>
      <w:tr>
        <w:tc>
          <w:tcPr>
            <w:tcW w:type="dxa" w:w="2200"/>
            <w:shd w:fill="F7F9F9" w:val="clear"/>
            <w:tcMar>
              <w:top w:type="dxa" w:w="90"/>
              <w:left w:type="dxa" w:w="120"/>
              <w:bottom w:type="dxa" w:w="90"/>
              <w:right w:type="dxa" w:w="120"/>
            </w:tcMar>
            <w:vAlign w:val="center"/>
          </w:tcPr>
          <w:p>
            <w:r>
              <w:rPr>
                <w:sz w:val="18"/>
                <w:szCs w:val="18"/>
              </w:rPr>
              <w:t xml:space="preserve">Domänenspezifisch</w:t>
            </w:r>
          </w:p>
        </w:tc>
        <w:tc>
          <w:tcPr>
            <w:tcW w:type="dxa" w:w="4550"/>
            <w:shd w:fill="F7F9F9" w:val="clear"/>
            <w:tcMar>
              <w:top w:type="dxa" w:w="90"/>
              <w:left w:type="dxa" w:w="120"/>
              <w:bottom w:type="dxa" w:w="90"/>
              <w:right w:type="dxa" w:w="120"/>
            </w:tcMar>
            <w:vAlign w:val="center"/>
          </w:tcPr>
          <w:p>
            <w:r>
              <w:rPr>
                <w:sz w:val="18"/>
                <w:szCs w:val="18"/>
              </w:rPr>
              <w:t xml:space="preserve">Kalibrierungskurve (Vorhersage vs. tatsächliche Materialeigenschaft)</w:t>
            </w:r>
          </w:p>
        </w:tc>
        <w:tc>
          <w:tcPr>
            <w:tcW w:type="dxa" w:w="2600"/>
            <w:shd w:fill="F7F9F9" w:val="clear"/>
            <w:tcMar>
              <w:top w:type="dxa" w:w="90"/>
              <w:left w:type="dxa" w:w="120"/>
              <w:bottom w:type="dxa" w:w="90"/>
              <w:right w:type="dxa" w:w="120"/>
            </w:tcMar>
            <w:vAlign w:val="center"/>
          </w:tcPr>
          <w:p>
            <w:r>
              <w:rPr>
                <w:sz w:val="18"/>
                <w:szCs w:val="18"/>
              </w:rPr>
              <w:t xml:space="preserve">Konvergenz gegen Diagonale</w:t>
            </w:r>
          </w:p>
        </w:tc>
      </w:tr>
      <w:tr>
        <w:tc>
          <w:tcPr>
            <w:tcW w:type="dxa" w:w="2200"/>
            <w:shd w:fill="FFFFFF" w:val="clear"/>
            <w:tcMar>
              <w:top w:type="dxa" w:w="90"/>
              <w:left w:type="dxa" w:w="120"/>
              <w:bottom w:type="dxa" w:w="90"/>
              <w:right w:type="dxa" w:w="120"/>
            </w:tcMar>
            <w:vAlign w:val="center"/>
          </w:tcPr>
          <w:p>
            <w:r>
              <w:rPr>
                <w:sz w:val="18"/>
                <w:szCs w:val="18"/>
              </w:rPr>
              <w:t xml:space="preserve">Domänenspezifisch</w:t>
            </w:r>
          </w:p>
        </w:tc>
        <w:tc>
          <w:tcPr>
            <w:tcW w:type="dxa" w:w="4550"/>
            <w:shd w:fill="FFFFFF" w:val="clear"/>
            <w:tcMar>
              <w:top w:type="dxa" w:w="90"/>
              <w:left w:type="dxa" w:w="120"/>
              <w:bottom w:type="dxa" w:w="90"/>
              <w:right w:type="dxa" w:w="120"/>
            </w:tcMar>
            <w:vAlign w:val="center"/>
          </w:tcPr>
          <w:p>
            <w:r>
              <w:rPr>
                <w:sz w:val="18"/>
                <w:szCs w:val="18"/>
              </w:rPr>
              <w:t xml:space="preserve">Katastrophales-Vergessen-Rate auf Referenz-Aufgabenset</w:t>
            </w:r>
          </w:p>
        </w:tc>
        <w:tc>
          <w:tcPr>
            <w:tcW w:type="dxa" w:w="2600"/>
            <w:shd w:fill="FFFFFF" w:val="clear"/>
            <w:tcMar>
              <w:top w:type="dxa" w:w="90"/>
              <w:left w:type="dxa" w:w="120"/>
              <w:bottom w:type="dxa" w:w="90"/>
              <w:right w:type="dxa" w:w="120"/>
            </w:tcMar>
            <w:vAlign w:val="center"/>
          </w:tcPr>
          <w:p>
            <w:r>
              <w:rPr>
                <w:sz w:val="18"/>
                <w:szCs w:val="18"/>
              </w:rPr>
              <w:t xml:space="preserve">Trend gegen 0 % pro Konsolidierungszyklus</w:t>
            </w:r>
          </w:p>
        </w:tc>
      </w:tr>
      <w:tr>
        <w:tc>
          <w:tcPr>
            <w:tcW w:type="dxa" w:w="2200"/>
            <w:shd w:fill="F7F9F9" w:val="clear"/>
            <w:tcMar>
              <w:top w:type="dxa" w:w="90"/>
              <w:left w:type="dxa" w:w="120"/>
              <w:bottom w:type="dxa" w:w="90"/>
              <w:right w:type="dxa" w:w="120"/>
            </w:tcMar>
            <w:vAlign w:val="center"/>
          </w:tcPr>
          <w:p>
            <w:r>
              <w:rPr>
                <w:sz w:val="18"/>
                <w:szCs w:val="18"/>
              </w:rPr>
              <w:t xml:space="preserve">Domänenspezifisch</w:t>
            </w:r>
          </w:p>
        </w:tc>
        <w:tc>
          <w:tcPr>
            <w:tcW w:type="dxa" w:w="4550"/>
            <w:shd w:fill="F7F9F9" w:val="clear"/>
            <w:tcMar>
              <w:top w:type="dxa" w:w="90"/>
              <w:left w:type="dxa" w:w="120"/>
              <w:bottom w:type="dxa" w:w="90"/>
              <w:right w:type="dxa" w:w="120"/>
            </w:tcMar>
            <w:vAlign w:val="center"/>
          </w:tcPr>
          <w:p>
            <w:r>
              <w:rPr>
                <w:sz w:val="18"/>
                <w:szCs w:val="18"/>
              </w:rPr>
              <w:t xml:space="preserve">Kontinuierliches-Lernen-Score (analog AGI-Bottleneck-Test)</w:t>
            </w:r>
          </w:p>
        </w:tc>
        <w:tc>
          <w:tcPr>
            <w:tcW w:type="dxa" w:w="2600"/>
            <w:shd w:fill="F7F9F9" w:val="clear"/>
            <w:tcMar>
              <w:top w:type="dxa" w:w="90"/>
              <w:left w:type="dxa" w:w="120"/>
              <w:bottom w:type="dxa" w:w="90"/>
              <w:right w:type="dxa" w:w="120"/>
            </w:tcMar>
            <w:vAlign w:val="center"/>
          </w:tcPr>
          <w:p>
            <w:r>
              <w:rPr>
                <w:sz w:val="18"/>
                <w:szCs w:val="18"/>
              </w:rPr>
              <w:t xml:space="preserve">Signifikant &gt; 0, im Gegensatz zum aktuellen Feld-Standard</w:t>
            </w:r>
          </w:p>
        </w:tc>
      </w:tr>
    </w:tbl>
    <w:p>
      <w:pPr>
        <w:spacing w:after="200" w:line="288"/>
      </w:pPr>
      <w:r>
        <w:t xml:space="preserve">Der letzte Punkt ist der eigentliche wissenschaftliche Prüfstein des gesamten Konzepts: Gelingt es, auf einem Test analog zu dem in Kapitel 2.1 beschriebenen AGI-Bottleneck-Rahmen einen Wert deutlich über null zu erzielen, wäre das ein belastbarer, externen Standards genügender Nachweis, dass die Architektur den zentralen Engpass tatsächlich adressiert – nicht nur in der eigenen Domäne, sondern nach einem Maßstab, der auch außerhalb dieses Projekts anerkannt ist.</w:t>
      </w:r>
    </w:p>
    <w:p>
      <w:r>
        <w:br w:type="page"/>
      </w:r>
    </w:p>
    <w:p>
      <w:pPr>
        <w:pStyle w:val="Heading1"/>
      </w:pPr>
      <w:r>
        <w:t xml:space="preserve">7. Generalisierung auf andere Domänen</w:t>
      </w:r>
    </w:p>
    <w:p>
      <w:pPr>
        <w:spacing w:after="200" w:line="288"/>
      </w:pPr>
      <w:r>
        <w:t xml:space="preserve">Die Architektur ist bewusst in einen domänen-agnostischen „Kern“ (Gedächtnis, Drei-Geschwindigkeiten-Lernen, Verifikationsschicht, Hypothesen-Engine) und einen domänenspezifischen „Körper“ (Robotik/Sensorik, Sicherheits-Screening, Ground-Truth-Quelle) getrennt. Übertragung auf ein neues Feld bedeutet primär, den Körper auszutauschen – der Kern bleibt strukturell gleich.</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000"/>
        <w:gridCol w:w="3800"/>
        <w:gridCol w:w="3550"/>
      </w:tblGrid>
      <w:tr>
        <w:trPr>
          <w:tblHeader/>
        </w:trPr>
        <w:tc>
          <w:tcPr>
            <w:tcW w:type="dxa" w:w="2000"/>
            <w:shd w:fill="1F4E5F" w:val="clear"/>
            <w:tcMar>
              <w:top w:type="dxa" w:w="100"/>
              <w:left w:type="dxa" w:w="120"/>
              <w:bottom w:type="dxa" w:w="100"/>
              <w:right w:type="dxa" w:w="120"/>
            </w:tcMar>
            <w:vAlign w:val="center"/>
          </w:tcPr>
          <w:p>
            <w:r>
              <w:rPr>
                <w:b/>
                <w:bCs/>
                <w:color w:val="FFFFFF"/>
                <w:sz w:val="19"/>
                <w:szCs w:val="19"/>
              </w:rPr>
              <w:t xml:space="preserve">Domäne</w:t>
            </w:r>
          </w:p>
        </w:tc>
        <w:tc>
          <w:tcPr>
            <w:tcW w:type="dxa" w:w="3800"/>
            <w:shd w:fill="1F4E5F" w:val="clear"/>
            <w:tcMar>
              <w:top w:type="dxa" w:w="100"/>
              <w:left w:type="dxa" w:w="120"/>
              <w:bottom w:type="dxa" w:w="100"/>
              <w:right w:type="dxa" w:w="120"/>
            </w:tcMar>
            <w:vAlign w:val="center"/>
          </w:tcPr>
          <w:p>
            <w:r>
              <w:rPr>
                <w:b/>
                <w:bCs/>
                <w:color w:val="FFFFFF"/>
                <w:sz w:val="19"/>
                <w:szCs w:val="19"/>
              </w:rPr>
              <w:t xml:space="preserve">Ground-Truth-Quelle (ersetzt Laborergebnis)</w:t>
            </w:r>
          </w:p>
        </w:tc>
        <w:tc>
          <w:tcPr>
            <w:tcW w:type="dxa" w:w="3550"/>
            <w:shd w:fill="1F4E5F" w:val="clear"/>
            <w:tcMar>
              <w:top w:type="dxa" w:w="100"/>
              <w:left w:type="dxa" w:w="120"/>
              <w:bottom w:type="dxa" w:w="100"/>
              <w:right w:type="dxa" w:w="120"/>
            </w:tcMar>
            <w:vAlign w:val="center"/>
          </w:tcPr>
          <w:p>
            <w:r>
              <w:rPr>
                <w:b/>
                <w:bCs/>
                <w:color w:val="FFFFFF"/>
                <w:sz w:val="19"/>
                <w:szCs w:val="19"/>
              </w:rPr>
              <w:t xml:space="preserve">Zusätzliche Anforderungen</w:t>
            </w:r>
          </w:p>
        </w:tc>
      </w:tr>
      <w:tr>
        <w:tc>
          <w:tcPr>
            <w:tcW w:type="dxa" w:w="2000"/>
            <w:shd w:fill="FFFFFF" w:val="clear"/>
            <w:tcMar>
              <w:top w:type="dxa" w:w="90"/>
              <w:left w:type="dxa" w:w="120"/>
              <w:bottom w:type="dxa" w:w="90"/>
              <w:right w:type="dxa" w:w="120"/>
            </w:tcMar>
            <w:vAlign w:val="center"/>
          </w:tcPr>
          <w:p>
            <w:r>
              <w:rPr>
                <w:sz w:val="18"/>
                <w:szCs w:val="18"/>
              </w:rPr>
              <w:t xml:space="preserve">Medizinische Diagnostik</w:t>
            </w:r>
          </w:p>
        </w:tc>
        <w:tc>
          <w:tcPr>
            <w:tcW w:type="dxa" w:w="3800"/>
            <w:shd w:fill="FFFFFF" w:val="clear"/>
            <w:tcMar>
              <w:top w:type="dxa" w:w="90"/>
              <w:left w:type="dxa" w:w="120"/>
              <w:bottom w:type="dxa" w:w="90"/>
              <w:right w:type="dxa" w:w="120"/>
            </w:tcMar>
            <w:vAlign w:val="center"/>
          </w:tcPr>
          <w:p>
            <w:r>
              <w:rPr>
                <w:sz w:val="18"/>
                <w:szCs w:val="18"/>
              </w:rPr>
              <w:t xml:space="preserve">Klinische Verläufe, Bildgebung, Laborwerte mit ärztlichem Feedback</w:t>
            </w:r>
          </w:p>
        </w:tc>
        <w:tc>
          <w:tcPr>
            <w:tcW w:type="dxa" w:w="3550"/>
            <w:shd w:fill="FFFFFF" w:val="clear"/>
            <w:tcMar>
              <w:top w:type="dxa" w:w="90"/>
              <w:left w:type="dxa" w:w="120"/>
              <w:bottom w:type="dxa" w:w="90"/>
              <w:right w:type="dxa" w:w="120"/>
            </w:tcMar>
            <w:vAlign w:val="center"/>
          </w:tcPr>
          <w:p>
            <w:r>
              <w:rPr>
                <w:sz w:val="18"/>
                <w:szCs w:val="18"/>
              </w:rPr>
              <w:t xml:space="preserve">Regulatorische Freigabe (z. B. MDR/FDA-Äquivalent), Patienteneinwilligung, Differential Privacy im Gedächtnisspeicher</w:t>
            </w:r>
          </w:p>
        </w:tc>
      </w:tr>
      <w:tr>
        <w:tc>
          <w:tcPr>
            <w:tcW w:type="dxa" w:w="2000"/>
            <w:shd w:fill="F7F9F9" w:val="clear"/>
            <w:tcMar>
              <w:top w:type="dxa" w:w="90"/>
              <w:left w:type="dxa" w:w="120"/>
              <w:bottom w:type="dxa" w:w="90"/>
              <w:right w:type="dxa" w:w="120"/>
            </w:tcMar>
            <w:vAlign w:val="center"/>
          </w:tcPr>
          <w:p>
            <w:r>
              <w:rPr>
                <w:sz w:val="18"/>
                <w:szCs w:val="18"/>
              </w:rPr>
              <w:t xml:space="preserve">Bildung / persönlicher Mentor</w:t>
            </w:r>
          </w:p>
        </w:tc>
        <w:tc>
          <w:tcPr>
            <w:tcW w:type="dxa" w:w="3800"/>
            <w:shd w:fill="F7F9F9" w:val="clear"/>
            <w:tcMar>
              <w:top w:type="dxa" w:w="90"/>
              <w:left w:type="dxa" w:w="120"/>
              <w:bottom w:type="dxa" w:w="90"/>
              <w:right w:type="dxa" w:w="120"/>
            </w:tcMar>
            <w:vAlign w:val="center"/>
          </w:tcPr>
          <w:p>
            <w:r>
              <w:rPr>
                <w:sz w:val="18"/>
                <w:szCs w:val="18"/>
              </w:rPr>
              <w:t xml:space="preserve">Lernfortschritt, Verständnistests, Langzeit-Retention</w:t>
            </w:r>
          </w:p>
        </w:tc>
        <w:tc>
          <w:tcPr>
            <w:tcW w:type="dxa" w:w="3550"/>
            <w:shd w:fill="F7F9F9" w:val="clear"/>
            <w:tcMar>
              <w:top w:type="dxa" w:w="90"/>
              <w:left w:type="dxa" w:w="120"/>
              <w:bottom w:type="dxa" w:w="90"/>
              <w:right w:type="dxa" w:w="120"/>
            </w:tcMar>
            <w:vAlign w:val="center"/>
          </w:tcPr>
          <w:p>
            <w:r>
              <w:rPr>
                <w:sz w:val="18"/>
                <w:szCs w:val="18"/>
              </w:rPr>
              <w:t xml:space="preserve">Schwächere Ground Truth, stärkere Kalibrierungs- und Unsicherheitskommunikation nötig</w:t>
            </w:r>
          </w:p>
        </w:tc>
      </w:tr>
      <w:tr>
        <w:tc>
          <w:tcPr>
            <w:tcW w:type="dxa" w:w="2000"/>
            <w:shd w:fill="FFFFFF" w:val="clear"/>
            <w:tcMar>
              <w:top w:type="dxa" w:w="90"/>
              <w:left w:type="dxa" w:w="120"/>
              <w:bottom w:type="dxa" w:w="90"/>
              <w:right w:type="dxa" w:w="120"/>
            </w:tcMar>
            <w:vAlign w:val="center"/>
          </w:tcPr>
          <w:p>
            <w:r>
              <w:rPr>
                <w:sz w:val="18"/>
                <w:szCs w:val="18"/>
              </w:rPr>
              <w:t xml:space="preserve">Klimamodellierung / Materialien für CO2-Abscheidung</w:t>
            </w:r>
          </w:p>
        </w:tc>
        <w:tc>
          <w:tcPr>
            <w:tcW w:type="dxa" w:w="3800"/>
            <w:shd w:fill="FFFFFF" w:val="clear"/>
            <w:tcMar>
              <w:top w:type="dxa" w:w="90"/>
              <w:left w:type="dxa" w:w="120"/>
              <w:bottom w:type="dxa" w:w="90"/>
              <w:right w:type="dxa" w:w="120"/>
            </w:tcMar>
            <w:vAlign w:val="center"/>
          </w:tcPr>
          <w:p>
            <w:r>
              <w:rPr>
                <w:sz w:val="18"/>
                <w:szCs w:val="18"/>
              </w:rPr>
              <w:t xml:space="preserve">Simulationsergebnisse + reale Pilotanlagendaten</w:t>
            </w:r>
          </w:p>
        </w:tc>
        <w:tc>
          <w:tcPr>
            <w:tcW w:type="dxa" w:w="3550"/>
            <w:shd w:fill="FFFFFF" w:val="clear"/>
            <w:tcMar>
              <w:top w:type="dxa" w:w="90"/>
              <w:left w:type="dxa" w:w="120"/>
              <w:bottom w:type="dxa" w:w="90"/>
              <w:right w:type="dxa" w:w="120"/>
            </w:tcMar>
            <w:vAlign w:val="center"/>
          </w:tcPr>
          <w:p>
            <w:r>
              <w:rPr>
                <w:sz w:val="18"/>
                <w:szCs w:val="18"/>
              </w:rPr>
              <w:t xml:space="preserve">Sehr lange Feedbackzyklen erfordern angepasste Konsolidierungstakte</w:t>
            </w:r>
          </w:p>
        </w:tc>
      </w:tr>
      <w:tr>
        <w:tc>
          <w:tcPr>
            <w:tcW w:type="dxa" w:w="2000"/>
            <w:shd w:fill="F7F9F9" w:val="clear"/>
            <w:tcMar>
              <w:top w:type="dxa" w:w="90"/>
              <w:left w:type="dxa" w:w="120"/>
              <w:bottom w:type="dxa" w:w="90"/>
              <w:right w:type="dxa" w:w="120"/>
            </w:tcMar>
            <w:vAlign w:val="center"/>
          </w:tcPr>
          <w:p>
            <w:r>
              <w:rPr>
                <w:sz w:val="18"/>
                <w:szCs w:val="18"/>
              </w:rPr>
              <w:t xml:space="preserve">Allgemeiner Forschungsassistent (fachübergreifend)</w:t>
            </w:r>
          </w:p>
        </w:tc>
        <w:tc>
          <w:tcPr>
            <w:tcW w:type="dxa" w:w="3800"/>
            <w:shd w:fill="F7F9F9" w:val="clear"/>
            <w:tcMar>
              <w:top w:type="dxa" w:w="90"/>
              <w:left w:type="dxa" w:w="120"/>
              <w:bottom w:type="dxa" w:w="90"/>
              <w:right w:type="dxa" w:w="120"/>
            </w:tcMar>
            <w:vAlign w:val="center"/>
          </w:tcPr>
          <w:p>
            <w:r>
              <w:rPr>
                <w:sz w:val="18"/>
                <w:szCs w:val="18"/>
              </w:rPr>
              <w:t xml:space="preserve">Literaturkonsens + Peer-Review-Ergebnisse</w:t>
            </w:r>
          </w:p>
        </w:tc>
        <w:tc>
          <w:tcPr>
            <w:tcW w:type="dxa" w:w="3550"/>
            <w:shd w:fill="F7F9F9" w:val="clear"/>
            <w:tcMar>
              <w:top w:type="dxa" w:w="90"/>
              <w:left w:type="dxa" w:w="120"/>
              <w:bottom w:type="dxa" w:w="90"/>
              <w:right w:type="dxa" w:w="120"/>
            </w:tcMar>
            <w:vAlign w:val="center"/>
          </w:tcPr>
          <w:p>
            <w:r>
              <w:rPr>
                <w:sz w:val="18"/>
                <w:szCs w:val="18"/>
              </w:rPr>
              <w:t xml:space="preserve">Schwächeres objektives Feedback, höhere Abhängigkeit von Verifikationsschicht</w:t>
            </w:r>
          </w:p>
        </w:tc>
      </w:tr>
    </w:tbl>
    <w:p>
      <w:pPr>
        <w:spacing w:after="200" w:line="288"/>
      </w:pPr>
      <w:r>
        <w:t xml:space="preserve">Die Materialforschungs-Instanziierung ist deshalb als erste Domäne gewählt, weil sie die stärkste, am wenigsten mehrdeutige Ground Truth bietet – ein Umfeld, in dem sich Lernerfolg oder -misserfolg eindeutig messen lässt, bevor die Architektur auf Domänen mit schwächerem Feedback (Medizin, Bildung) übertragen wird, wo Fehler teurer und schwerer nachweisbar sind.</w:t>
      </w:r>
    </w:p>
    <w:p>
      <w:r>
        <w:br w:type="page"/>
      </w:r>
    </w:p>
    <w:p>
      <w:pPr>
        <w:pStyle w:val="Heading1"/>
      </w:pPr>
      <w:r>
        <w:t xml:space="preserve">8. Implementierungs-Roadmap</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350"/>
        <w:gridCol w:w="1550"/>
        <w:gridCol w:w="4400"/>
        <w:gridCol w:w="1050"/>
      </w:tblGrid>
      <w:tr>
        <w:trPr>
          <w:tblHeader/>
        </w:trPr>
        <w:tc>
          <w:tcPr>
            <w:tcW w:type="dxa" w:w="2350"/>
            <w:shd w:fill="1F4E5F" w:val="clear"/>
            <w:tcMar>
              <w:top w:type="dxa" w:w="100"/>
              <w:left w:type="dxa" w:w="120"/>
              <w:bottom w:type="dxa" w:w="100"/>
              <w:right w:type="dxa" w:w="120"/>
            </w:tcMar>
            <w:vAlign w:val="center"/>
          </w:tcPr>
          <w:p>
            <w:r>
              <w:rPr>
                <w:b/>
                <w:bCs/>
                <w:color w:val="FFFFFF"/>
                <w:sz w:val="19"/>
                <w:szCs w:val="19"/>
              </w:rPr>
              <w:t xml:space="preserve">Phase</w:t>
            </w:r>
          </w:p>
        </w:tc>
        <w:tc>
          <w:tcPr>
            <w:tcW w:type="dxa" w:w="1550"/>
            <w:shd w:fill="1F4E5F" w:val="clear"/>
            <w:tcMar>
              <w:top w:type="dxa" w:w="100"/>
              <w:left w:type="dxa" w:w="120"/>
              <w:bottom w:type="dxa" w:w="100"/>
              <w:right w:type="dxa" w:w="120"/>
            </w:tcMar>
            <w:vAlign w:val="center"/>
          </w:tcPr>
          <w:p>
            <w:r>
              <w:rPr>
                <w:b/>
                <w:bCs/>
                <w:color w:val="FFFFFF"/>
                <w:sz w:val="19"/>
                <w:szCs w:val="19"/>
              </w:rPr>
              <w:t xml:space="preserve">Zeitraum</w:t>
            </w:r>
          </w:p>
        </w:tc>
        <w:tc>
          <w:tcPr>
            <w:tcW w:type="dxa" w:w="4400"/>
            <w:shd w:fill="1F4E5F" w:val="clear"/>
            <w:tcMar>
              <w:top w:type="dxa" w:w="100"/>
              <w:left w:type="dxa" w:w="120"/>
              <w:bottom w:type="dxa" w:w="100"/>
              <w:right w:type="dxa" w:w="120"/>
            </w:tcMar>
            <w:vAlign w:val="center"/>
          </w:tcPr>
          <w:p>
            <w:r>
              <w:rPr>
                <w:b/>
                <w:bCs/>
                <w:color w:val="FFFFFF"/>
                <w:sz w:val="19"/>
                <w:szCs w:val="19"/>
              </w:rPr>
              <w:t xml:space="preserve">Ziel</w:t>
            </w:r>
          </w:p>
        </w:tc>
        <w:tc>
          <w:tcPr>
            <w:tcW w:type="dxa" w:w="1050"/>
            <w:shd w:fill="1F4E5F" w:val="clear"/>
            <w:tcMar>
              <w:top w:type="dxa" w:w="100"/>
              <w:left w:type="dxa" w:w="120"/>
              <w:bottom w:type="dxa" w:w="100"/>
              <w:right w:type="dxa" w:w="120"/>
            </w:tcMar>
            <w:vAlign w:val="center"/>
          </w:tcPr>
          <w:p>
            <w:r>
              <w:rPr>
                <w:b/>
                <w:bCs/>
                <w:color w:val="FFFFFF"/>
                <w:sz w:val="19"/>
                <w:szCs w:val="19"/>
              </w:rPr>
              <w:t xml:space="preserve">Kein Robotik-Risiko?</w:t>
            </w:r>
          </w:p>
        </w:tc>
      </w:tr>
      <w:tr>
        <w:tc>
          <w:tcPr>
            <w:tcW w:type="dxa" w:w="2350"/>
            <w:shd w:fill="FFFFFF" w:val="clear"/>
            <w:tcMar>
              <w:top w:type="dxa" w:w="90"/>
              <w:left w:type="dxa" w:w="120"/>
              <w:bottom w:type="dxa" w:w="90"/>
              <w:right w:type="dxa" w:w="120"/>
            </w:tcMar>
            <w:vAlign w:val="center"/>
          </w:tcPr>
          <w:p>
            <w:r>
              <w:rPr>
                <w:sz w:val="18"/>
                <w:szCs w:val="18"/>
              </w:rPr>
              <w:t xml:space="preserve">Phase 0 – Proof of Concept</w:t>
            </w:r>
          </w:p>
        </w:tc>
        <w:tc>
          <w:tcPr>
            <w:tcW w:type="dxa" w:w="1550"/>
            <w:shd w:fill="FFFFFF" w:val="clear"/>
            <w:tcMar>
              <w:top w:type="dxa" w:w="90"/>
              <w:left w:type="dxa" w:w="120"/>
              <w:bottom w:type="dxa" w:w="90"/>
              <w:right w:type="dxa" w:w="120"/>
            </w:tcMar>
            <w:vAlign w:val="center"/>
          </w:tcPr>
          <w:p>
            <w:r>
              <w:rPr>
                <w:sz w:val="18"/>
                <w:szCs w:val="18"/>
              </w:rPr>
              <w:t xml:space="preserve">Monate 1–3</w:t>
            </w:r>
          </w:p>
        </w:tc>
        <w:tc>
          <w:tcPr>
            <w:tcW w:type="dxa" w:w="4400"/>
            <w:shd w:fill="FFFFFF" w:val="clear"/>
            <w:tcMar>
              <w:top w:type="dxa" w:w="90"/>
              <w:left w:type="dxa" w:w="120"/>
              <w:bottom w:type="dxa" w:w="90"/>
              <w:right w:type="dxa" w:w="120"/>
            </w:tcMar>
            <w:vAlign w:val="center"/>
          </w:tcPr>
          <w:p>
            <w:r>
              <w:rPr>
                <w:sz w:val="18"/>
                <w:szCs w:val="18"/>
              </w:rPr>
              <w:t xml:space="preserve">Gedächtnissystem + Geschwindigkeit-1-Lernen auf historischen/simulierten Materialdaten, keine Hardware</w:t>
            </w:r>
          </w:p>
        </w:tc>
        <w:tc>
          <w:tcPr>
            <w:tcW w:type="dxa" w:w="1050"/>
            <w:shd w:fill="FFFFFF" w:val="clear"/>
            <w:tcMar>
              <w:top w:type="dxa" w:w="90"/>
              <w:left w:type="dxa" w:w="120"/>
              <w:bottom w:type="dxa" w:w="90"/>
              <w:right w:type="dxa" w:w="120"/>
            </w:tcMar>
            <w:vAlign w:val="center"/>
          </w:tcPr>
          <w:p>
            <w:r>
              <w:rPr>
                <w:sz w:val="18"/>
                <w:szCs w:val="18"/>
              </w:rPr>
              <w:t xml:space="preserve">Ja</w:t>
            </w:r>
          </w:p>
        </w:tc>
      </w:tr>
      <w:tr>
        <w:tc>
          <w:tcPr>
            <w:tcW w:type="dxa" w:w="2350"/>
            <w:shd w:fill="F7F9F9" w:val="clear"/>
            <w:tcMar>
              <w:top w:type="dxa" w:w="90"/>
              <w:left w:type="dxa" w:w="120"/>
              <w:bottom w:type="dxa" w:w="90"/>
              <w:right w:type="dxa" w:w="120"/>
            </w:tcMar>
            <w:vAlign w:val="center"/>
          </w:tcPr>
          <w:p>
            <w:r>
              <w:rPr>
                <w:sz w:val="18"/>
                <w:szCs w:val="18"/>
              </w:rPr>
              <w:t xml:space="preserve">Phase 1 – Laborintegration</w:t>
            </w:r>
          </w:p>
        </w:tc>
        <w:tc>
          <w:tcPr>
            <w:tcW w:type="dxa" w:w="1550"/>
            <w:shd w:fill="F7F9F9" w:val="clear"/>
            <w:tcMar>
              <w:top w:type="dxa" w:w="90"/>
              <w:left w:type="dxa" w:w="120"/>
              <w:bottom w:type="dxa" w:w="90"/>
              <w:right w:type="dxa" w:w="120"/>
            </w:tcMar>
            <w:vAlign w:val="center"/>
          </w:tcPr>
          <w:p>
            <w:r>
              <w:rPr>
                <w:sz w:val="18"/>
                <w:szCs w:val="18"/>
              </w:rPr>
              <w:t xml:space="preserve">Monate 4–9</w:t>
            </w:r>
          </w:p>
        </w:tc>
        <w:tc>
          <w:tcPr>
            <w:tcW w:type="dxa" w:w="4400"/>
            <w:shd w:fill="F7F9F9" w:val="clear"/>
            <w:tcMar>
              <w:top w:type="dxa" w:w="90"/>
              <w:left w:type="dxa" w:w="120"/>
              <w:bottom w:type="dxa" w:w="90"/>
              <w:right w:type="dxa" w:w="120"/>
            </w:tcMar>
            <w:vAlign w:val="center"/>
          </w:tcPr>
          <w:p>
            <w:r>
              <w:rPr>
                <w:sz w:val="18"/>
                <w:szCs w:val="18"/>
              </w:rPr>
              <w:t xml:space="preserve">Anbindung an ein bestehendes Self-Driving-Lab-Partnerlabor, ein eng begrenzter Materialtyp</w:t>
            </w:r>
          </w:p>
        </w:tc>
        <w:tc>
          <w:tcPr>
            <w:tcW w:type="dxa" w:w="1050"/>
            <w:shd w:fill="F7F9F9" w:val="clear"/>
            <w:tcMar>
              <w:top w:type="dxa" w:w="90"/>
              <w:left w:type="dxa" w:w="120"/>
              <w:bottom w:type="dxa" w:w="90"/>
              <w:right w:type="dxa" w:w="120"/>
            </w:tcMar>
            <w:vAlign w:val="center"/>
          </w:tcPr>
          <w:p>
            <w:r>
              <w:rPr>
                <w:sz w:val="18"/>
                <w:szCs w:val="18"/>
              </w:rPr>
              <w:t xml:space="preserve">Nein – enger Scope</w:t>
            </w:r>
          </w:p>
        </w:tc>
      </w:tr>
      <w:tr>
        <w:tc>
          <w:tcPr>
            <w:tcW w:type="dxa" w:w="2350"/>
            <w:shd w:fill="FFFFFF" w:val="clear"/>
            <w:tcMar>
              <w:top w:type="dxa" w:w="90"/>
              <w:left w:type="dxa" w:w="120"/>
              <w:bottom w:type="dxa" w:w="90"/>
              <w:right w:type="dxa" w:w="120"/>
            </w:tcMar>
            <w:vAlign w:val="center"/>
          </w:tcPr>
          <w:p>
            <w:r>
              <w:rPr>
                <w:sz w:val="18"/>
                <w:szCs w:val="18"/>
              </w:rPr>
              <w:t xml:space="preserve">Phase 2 – Aktives Lernen scharf schalten</w:t>
            </w:r>
          </w:p>
        </w:tc>
        <w:tc>
          <w:tcPr>
            <w:tcW w:type="dxa" w:w="1550"/>
            <w:shd w:fill="FFFFFF" w:val="clear"/>
            <w:tcMar>
              <w:top w:type="dxa" w:w="90"/>
              <w:left w:type="dxa" w:w="120"/>
              <w:bottom w:type="dxa" w:w="90"/>
              <w:right w:type="dxa" w:w="120"/>
            </w:tcMar>
            <w:vAlign w:val="center"/>
          </w:tcPr>
          <w:p>
            <w:r>
              <w:rPr>
                <w:sz w:val="18"/>
                <w:szCs w:val="18"/>
              </w:rPr>
              <w:t xml:space="preserve">Monate 10–18</w:t>
            </w:r>
          </w:p>
        </w:tc>
        <w:tc>
          <w:tcPr>
            <w:tcW w:type="dxa" w:w="4400"/>
            <w:shd w:fill="FFFFFF" w:val="clear"/>
            <w:tcMar>
              <w:top w:type="dxa" w:w="90"/>
              <w:left w:type="dxa" w:w="120"/>
              <w:bottom w:type="dxa" w:w="90"/>
              <w:right w:type="dxa" w:w="120"/>
            </w:tcMar>
            <w:vAlign w:val="center"/>
          </w:tcPr>
          <w:p>
            <w:r>
              <w:rPr>
                <w:sz w:val="18"/>
                <w:szCs w:val="18"/>
              </w:rPr>
              <w:t xml:space="preserve">Geschwindigkeit-2 (LoRA/O-LoRA), Multi-Agenten-Hypothesen-Engine, volle Verifikationsschicht</w:t>
            </w:r>
          </w:p>
        </w:tc>
        <w:tc>
          <w:tcPr>
            <w:tcW w:type="dxa" w:w="1050"/>
            <w:shd w:fill="FFFFFF" w:val="clear"/>
            <w:tcMar>
              <w:top w:type="dxa" w:w="90"/>
              <w:left w:type="dxa" w:w="120"/>
              <w:bottom w:type="dxa" w:w="90"/>
              <w:right w:type="dxa" w:w="120"/>
            </w:tcMar>
            <w:vAlign w:val="center"/>
          </w:tcPr>
          <w:p>
            <w:r>
              <w:rPr>
                <w:sz w:val="18"/>
                <w:szCs w:val="18"/>
              </w:rPr>
              <w:t xml:space="preserve">Nein</w:t>
            </w:r>
          </w:p>
        </w:tc>
      </w:tr>
      <w:tr>
        <w:tc>
          <w:tcPr>
            <w:tcW w:type="dxa" w:w="2350"/>
            <w:shd w:fill="F7F9F9" w:val="clear"/>
            <w:tcMar>
              <w:top w:type="dxa" w:w="90"/>
              <w:left w:type="dxa" w:w="120"/>
              <w:bottom w:type="dxa" w:w="90"/>
              <w:right w:type="dxa" w:w="120"/>
            </w:tcMar>
            <w:vAlign w:val="center"/>
          </w:tcPr>
          <w:p>
            <w:r>
              <w:rPr>
                <w:sz w:val="18"/>
                <w:szCs w:val="18"/>
              </w:rPr>
              <w:t xml:space="preserve">Phase 3 – Konsolidierung &amp; Validierung</w:t>
            </w:r>
          </w:p>
        </w:tc>
        <w:tc>
          <w:tcPr>
            <w:tcW w:type="dxa" w:w="1550"/>
            <w:shd w:fill="F7F9F9" w:val="clear"/>
            <w:tcMar>
              <w:top w:type="dxa" w:w="90"/>
              <w:left w:type="dxa" w:w="120"/>
              <w:bottom w:type="dxa" w:w="90"/>
              <w:right w:type="dxa" w:w="120"/>
            </w:tcMar>
            <w:vAlign w:val="center"/>
          </w:tcPr>
          <w:p>
            <w:r>
              <w:rPr>
                <w:sz w:val="18"/>
                <w:szCs w:val="18"/>
              </w:rPr>
              <w:t xml:space="preserve">Monate 19–30</w:t>
            </w:r>
          </w:p>
        </w:tc>
        <w:tc>
          <w:tcPr>
            <w:tcW w:type="dxa" w:w="4400"/>
            <w:shd w:fill="F7F9F9" w:val="clear"/>
            <w:tcMar>
              <w:top w:type="dxa" w:w="90"/>
              <w:left w:type="dxa" w:w="120"/>
              <w:bottom w:type="dxa" w:w="90"/>
              <w:right w:type="dxa" w:w="120"/>
            </w:tcMar>
            <w:vAlign w:val="center"/>
          </w:tcPr>
          <w:p>
            <w:r>
              <w:rPr>
                <w:sz w:val="18"/>
                <w:szCs w:val="18"/>
              </w:rPr>
              <w:t xml:space="preserve">Geschwindigkeit-3-Konsolidierung, Skalierung auf mehrere Materialklassen, unabhängige externe Prüfung/Publikation</w:t>
            </w:r>
          </w:p>
        </w:tc>
        <w:tc>
          <w:tcPr>
            <w:tcW w:type="dxa" w:w="1050"/>
            <w:shd w:fill="F7F9F9" w:val="clear"/>
            <w:tcMar>
              <w:top w:type="dxa" w:w="90"/>
              <w:left w:type="dxa" w:w="120"/>
              <w:bottom w:type="dxa" w:w="90"/>
              <w:right w:type="dxa" w:w="120"/>
            </w:tcMar>
            <w:vAlign w:val="center"/>
          </w:tcPr>
          <w:p>
            <w:r>
              <w:rPr>
                <w:sz w:val="18"/>
                <w:szCs w:val="18"/>
              </w:rPr>
              <w:t xml:space="preserve">Nein</w:t>
            </w:r>
          </w:p>
        </w:tc>
      </w:tr>
      <w:tr>
        <w:tc>
          <w:tcPr>
            <w:tcW w:type="dxa" w:w="2350"/>
            <w:shd w:fill="FFFFFF" w:val="clear"/>
            <w:tcMar>
              <w:top w:type="dxa" w:w="90"/>
              <w:left w:type="dxa" w:w="120"/>
              <w:bottom w:type="dxa" w:w="90"/>
              <w:right w:type="dxa" w:w="120"/>
            </w:tcMar>
            <w:vAlign w:val="center"/>
          </w:tcPr>
          <w:p>
            <w:r>
              <w:rPr>
                <w:sz w:val="18"/>
                <w:szCs w:val="18"/>
              </w:rPr>
              <w:t xml:space="preserve">Phase 4 – Domänentransfer</w:t>
            </w:r>
          </w:p>
        </w:tc>
        <w:tc>
          <w:tcPr>
            <w:tcW w:type="dxa" w:w="1550"/>
            <w:shd w:fill="FFFFFF" w:val="clear"/>
            <w:tcMar>
              <w:top w:type="dxa" w:w="90"/>
              <w:left w:type="dxa" w:w="120"/>
              <w:bottom w:type="dxa" w:w="90"/>
              <w:right w:type="dxa" w:w="120"/>
            </w:tcMar>
            <w:vAlign w:val="center"/>
          </w:tcPr>
          <w:p>
            <w:r>
              <w:rPr>
                <w:sz w:val="18"/>
                <w:szCs w:val="18"/>
              </w:rPr>
              <w:t xml:space="preserve">ab Monat 30</w:t>
            </w:r>
          </w:p>
        </w:tc>
        <w:tc>
          <w:tcPr>
            <w:tcW w:type="dxa" w:w="4400"/>
            <w:shd w:fill="FFFFFF" w:val="clear"/>
            <w:tcMar>
              <w:top w:type="dxa" w:w="90"/>
              <w:left w:type="dxa" w:w="120"/>
              <w:bottom w:type="dxa" w:w="90"/>
              <w:right w:type="dxa" w:w="120"/>
            </w:tcMar>
            <w:vAlign w:val="center"/>
          </w:tcPr>
          <w:p>
            <w:r>
              <w:rPr>
                <w:sz w:val="18"/>
                <w:szCs w:val="18"/>
              </w:rPr>
              <w:t xml:space="preserve">Übertragung des Kerns auf eine zweite Domäne als Architekturtest (z. B. Bildung oder eng gefasste Diagnostik)</w:t>
            </w:r>
          </w:p>
        </w:tc>
        <w:tc>
          <w:tcPr>
            <w:tcW w:type="dxa" w:w="1050"/>
            <w:shd w:fill="FFFFFF" w:val="clear"/>
            <w:tcMar>
              <w:top w:type="dxa" w:w="90"/>
              <w:left w:type="dxa" w:w="120"/>
              <w:bottom w:type="dxa" w:w="90"/>
              <w:right w:type="dxa" w:w="120"/>
            </w:tcMar>
            <w:vAlign w:val="center"/>
          </w:tcPr>
          <w:p>
            <w:r>
              <w:rPr>
                <w:sz w:val="18"/>
                <w:szCs w:val="18"/>
              </w:rPr>
              <w:t xml:space="preserve">Domänenabhängig</w:t>
            </w:r>
          </w:p>
        </w:tc>
      </w:tr>
    </w:tbl>
    <w:p>
      <w:pPr>
        <w:spacing w:after="200" w:line="288"/>
      </w:pPr>
      <w:r>
        <w:t xml:space="preserve">Jede Phase endet mit einem harten Go/No-Go-Kriterium auf Basis der in Kapitel 6 definierten Metriken – insbesondere der Kalibrierungskurve und der Katastrophales-Vergessen-Rate. Ein Scheitern an diesen Kriterien ist ein valides, informatives Ergebnis, kein Projektabbruchsgrund per se, sondern ein Anlass, das Lernsystem (Kapitel 5.3) zu überarbeiten, bevor mehr Kapital in Hardware oder Skalierung fließt.</w:t>
      </w:r>
    </w:p>
    <w:p>
      <w:r>
        <w:br w:type="page"/>
      </w:r>
    </w:p>
    <w:p>
      <w:pPr>
        <w:pStyle w:val="Heading1"/>
      </w:pPr>
      <w:r>
        <w:t xml:space="preserve">9. Risiken, Grenzen und offene Probleme</w:t>
      </w:r>
    </w:p>
    <w:p>
      <w:pPr>
        <w:spacing w:after="200" w:line="288"/>
      </w:pPr>
      <w:r>
        <w:t xml:space="preserve">Ein technisch seriöses Konzept benennt seine Schwächen genauso präzise wie seine Stärken.</w:t>
      </w:r>
    </w:p>
    <w:p>
      <w:pPr>
        <w:pStyle w:val="ListParagraph"/>
        <w:numPr>
          <w:ilvl w:val="0"/>
          <w:numId w:val="2"/>
        </w:numPr>
        <w:spacing w:after="120" w:line="276"/>
      </w:pPr>
      <w:r>
        <w:rPr>
          <w:b/>
          <w:bCs/>
        </w:rPr>
        <w:t xml:space="preserve">Restrisiko katastrophales Vergessen. </w:t>
      </w:r>
      <w:r>
        <w:t xml:space="preserve">Selbst mit EWC sinkt die Vergessensrate nur von rund 12,6 % auf 6,85 % [3] – nicht auf null. Ein vollständig verlustfreies kontinuierliches Lernen ist mit heutigen Methoden nicht erreichbar; das Risiko muss über Monitoring (Kapitel 6) und Rollback-Fähigkeit (Kapitel 5.7) aktiv gemanagt werden, nicht als gelöst betrachtet werden.</w:t>
      </w:r>
    </w:p>
    <w:p>
      <w:pPr>
        <w:pStyle w:val="ListParagraph"/>
        <w:numPr>
          <w:ilvl w:val="0"/>
          <w:numId w:val="2"/>
        </w:numPr>
        <w:spacing w:after="120" w:line="276"/>
      </w:pPr>
      <w:r>
        <w:rPr>
          <w:b/>
          <w:bCs/>
        </w:rPr>
        <w:t xml:space="preserve">Interpretierbarkeits-Lücke. </w:t>
      </w:r>
      <w:r>
        <w:t xml:space="preserve">Die „Blackbox“-Natur robotischer Entscheidungsfindung bleibt ein anerkanntes offenes Problem autonomer Labore [5]. Die Erklärbarkeits-Pflicht in 5.7 mindert, löst aber nicht vollständig, warum bestimmte Muster erkannt wurden.</w:t>
      </w:r>
    </w:p>
    <w:p>
      <w:pPr>
        <w:pStyle w:val="ListParagraph"/>
        <w:numPr>
          <w:ilvl w:val="0"/>
          <w:numId w:val="2"/>
        </w:numPr>
        <w:spacing w:after="120" w:line="276"/>
      </w:pPr>
      <w:r>
        <w:rPr>
          <w:b/>
          <w:bCs/>
        </w:rPr>
        <w:t xml:space="preserve">Kostenungleichheit. </w:t>
      </w:r>
      <w:r>
        <w:t xml:space="preserve">Hohe Implementierungskosten für Robotik und Laborinfrastruktur schaffen ein Gefälle zwischen gut finanzierten und weniger gut finanzierten Institutionen [5] – ein Verteilungsproblem, das dem Anspruch „bahnbrechend für die menschliche Entwicklung“ potenziell widerspricht, wenn der Zugang nicht bewusst offen gestaltet wird (z. B. über geteilte Laborinfrastruktur wie nationale Nutzerlabore).</w:t>
      </w:r>
    </w:p>
    <w:p>
      <w:pPr>
        <w:pStyle w:val="ListParagraph"/>
        <w:numPr>
          <w:ilvl w:val="0"/>
          <w:numId w:val="2"/>
        </w:numPr>
        <w:spacing w:after="120" w:line="276"/>
      </w:pPr>
      <w:r>
        <w:rPr>
          <w:b/>
          <w:bCs/>
        </w:rPr>
        <w:t xml:space="preserve">Dual-Use-Risiko. </w:t>
      </w:r>
      <w:r>
        <w:t xml:space="preserve">Materialforschung kann im Grenzbereich auch gefährliche Verbindungen hervorbringen. Das Gefahrstoff-Screening (5.7) muss kontinuierlich aktualisiert und unabhängig auditiert werden, damit die Lerngeschwindigkeit dieses Sicherheitsnetz nicht überholt.</w:t>
      </w:r>
    </w:p>
    <w:p>
      <w:pPr>
        <w:pStyle w:val="ListParagraph"/>
        <w:numPr>
          <w:ilvl w:val="0"/>
          <w:numId w:val="2"/>
        </w:numPr>
        <w:spacing w:after="120" w:line="276"/>
      </w:pPr>
      <w:r>
        <w:rPr>
          <w:b/>
          <w:bCs/>
        </w:rPr>
        <w:t xml:space="preserve">Automatisierungs-Bias. </w:t>
      </w:r>
      <w:r>
        <w:t xml:space="preserve">Je zuverlässiger das System über Zeit wird, desto größer das Risiko, dass menschliche Aufsicht nachlässt. Freigabe-Schwellen (5.7) müssen daher fix und nicht durch Systemvertrauen dynamisch absenkbar sein.</w:t>
      </w:r>
    </w:p>
    <w:p>
      <w:pPr>
        <w:pStyle w:val="ListParagraph"/>
        <w:numPr>
          <w:ilvl w:val="0"/>
          <w:numId w:val="2"/>
        </w:numPr>
        <w:spacing w:after="120" w:line="276"/>
      </w:pPr>
      <w:r>
        <w:rPr>
          <w:b/>
          <w:bCs/>
        </w:rPr>
        <w:t xml:space="preserve">Energie- und Rechenkosten. </w:t>
      </w:r>
      <w:r>
        <w:t xml:space="preserve">Wiederholte Adapter- und Konsolidierungs-Trainingszyklen verursachen laufende Rechenkosten, die in die Wirtschaftlichkeitsrechnung (Kapitel 6, Effizienz-Ebene) explizit eingepreist werden müssen.</w:t>
      </w:r>
    </w:p>
    <w:p>
      <w:pPr>
        <w:pStyle w:val="ListParagraph"/>
        <w:numPr>
          <w:ilvl w:val="0"/>
          <w:numId w:val="2"/>
        </w:numPr>
        <w:spacing w:after="120" w:line="276"/>
      </w:pPr>
      <w:r>
        <w:rPr>
          <w:b/>
          <w:bCs/>
        </w:rPr>
        <w:t xml:space="preserve">Regulatorische Unsicherheit außerhalb der Flagship-Domäne. </w:t>
      </w:r>
      <w:r>
        <w:t xml:space="preserve">Der Domänentransfer (Kapitel 7) auf Medizin oder andere regulierte Felder erfordert eigene, deutlich strengere Zulassungs- und Einwilligungsprozesse, die in diesem Konzept bewusst nicht vorweggenommen werden.</w:t>
      </w:r>
    </w:p>
    <w:p>
      <w:r>
        <w:br w:type="page"/>
      </w:r>
    </w:p>
    <w:p>
      <w:pPr>
        <w:pStyle w:val="Heading1"/>
      </w:pPr>
      <w:r>
        <w:t xml:space="preserve">10. Warum dies bahnbrechend für die menschliche Entwicklung wäre</w:t>
      </w:r>
    </w:p>
    <w:p>
      <w:pPr>
        <w:spacing w:after="200" w:line="288"/>
      </w:pPr>
      <w:r>
        <w:t xml:space="preserve">Der Wert dieses Konzepts liegt nicht in der Materialforschung allein, so nützlich bessere Batterien auch wären. Der eigentliche Hebel ist der Existenzbeweis: Wenn eine KI in einer eng kontrollierten, gut instrumentierten Domäne nachweislich über Jahre hinweg lernt, ohne zu vergessen, ohne unkontrolliert zu halluzinieren und ohne menschliche Aufsicht zu untergraben, dann ist das der erste belastbare Schritt weg von statischen, „amnesischen“ Modellen hin zu Systemen, die tatsächlich mit der Zeit und mit Erfahrung wachsen.</w:t>
      </w:r>
    </w:p>
    <w:p>
      <w:pPr>
        <w:spacing w:after="200" w:line="288"/>
      </w:pPr>
      <w:r>
        <w:t xml:space="preserve">Diese Fähigkeit ist keine bloße technische Verbesserung unter vielen. Sie ist – wie in Kapitel 2 gezeigt – der eine Bereich, in dem aktuelle Spitzenmodelle laut unabhängigen Bewertungsrahmen bei null liegen [1]. Wer diesen Engpass auch nur in einer Nische schließt, liefert die Blaupause für alles, was danach kommt: einen KI-Tutor, der wirklich über Jahre mit einem Menschen mitwächst; ein diagnostisches System, das aus jedem behandelten Fall tatsächlich klüger wird, statt bei jedem neuen Patienten wieder bei null anzufangen; einen Forschungspartner für jedes wissenschaftliche Feld, nicht nur für Materialien.</w:t>
      </w:r>
    </w:p>
    <w:p>
      <w:pPr>
        <w:spacing w:after="200" w:line="288"/>
      </w:pPr>
      <w:r>
        <w:t xml:space="preserve">Genau deshalb ist die Empfehlung dieses Konzepts, mit der am objektivsten messbaren, am wenigsten mehrdeutigen Domäne zu beginnen: nicht, weil Batterien das wichtigste Problem der Menschheit sind, sondern weil sie der Ort sind, an dem sich am unmissverständlichsten beweisen lässt, ob kontinuierliches Lernen wirklich funktioniert – bevor man dieses Versprechen in Bereichen einlöst, in denen Fehler sehr viel teurer sind.</w:t>
      </w:r>
    </w:p>
    <w:p>
      <w:r>
        <w:br w:type="page"/>
      </w:r>
    </w:p>
    <w:p>
      <w:pPr>
        <w:pStyle w:val="Heading1"/>
      </w:pPr>
      <w:r>
        <w:t xml:space="preserve">11. Quellen</w:t>
      </w:r>
    </w:p>
    <w:p>
      <w:pPr>
        <w:spacing w:after="140" w:line="264"/>
      </w:pPr>
      <w:r>
        <w:rPr>
          <w:b/>
          <w:bCs/>
          <w:sz w:val="18"/>
          <w:szCs w:val="18"/>
        </w:rPr>
        <w:t xml:space="preserve">[1] </w:t>
      </w:r>
      <w:r>
        <w:rPr>
          <w:color w:val="595959"/>
          <w:sz w:val="18"/>
          <w:szCs w:val="18"/>
        </w:rPr>
        <w:t xml:space="preserve">AGI's Last Bottlenecks. AI Frontiers, 2026. Analyse aktueller AGI-Fähigkeitsbenchmarks (u. a. IntPhys 2, SimpleQA) und Identifikation von kontinuierlichem Lernen als einzigem Bereich mit Nullwertung bei GPT-4/GPT-5. https://ai-frontiers.org/articles/agis-last-bottlenecks</w:t>
      </w:r>
    </w:p>
    <w:p>
      <w:pPr>
        <w:spacing w:after="140" w:line="264"/>
      </w:pPr>
      <w:r>
        <w:rPr>
          <w:b/>
          <w:bCs/>
          <w:sz w:val="18"/>
          <w:szCs w:val="18"/>
        </w:rPr>
        <w:t xml:space="preserve">[2] </w:t>
      </w:r>
      <w:r>
        <w:rPr>
          <w:color w:val="595959"/>
          <w:sz w:val="18"/>
          <w:szCs w:val="18"/>
        </w:rPr>
        <w:t xml:space="preserve">Memory for Autonomous LLM Agents: Mechanisms, Evaluation, and Emerging Frontiers. arXiv, 2026. Vierschichtiges Gedächtnismodell (Arbeits-, episodisches, semantisches, prozedurales Gedächtnis), Zwei-Puffer-Konsolidierung, vierschichtiger Evaluierungsrahmen. https://arxiv.org/html/2603.07670v1</w:t>
      </w:r>
    </w:p>
    <w:p>
      <w:pPr>
        <w:spacing w:after="140" w:line="264"/>
      </w:pPr>
      <w:r>
        <w:rPr>
          <w:b/>
          <w:bCs/>
          <w:sz w:val="18"/>
          <w:szCs w:val="18"/>
        </w:rPr>
        <w:t xml:space="preserve">[3] </w:t>
      </w:r>
      <w:r>
        <w:rPr>
          <w:color w:val="595959"/>
          <w:sz w:val="18"/>
          <w:szCs w:val="18"/>
        </w:rPr>
        <w:t xml:space="preserve">Continual Learning and Catastrophic Forgetting Prevention in AI Agents. Zylos Research, 2026. Übersicht über EWC, O-LoRA, Contextual Experience Replay, Titans-Architektur und deren empirische Vergessensraten. https://zylos.ai/research/2026-04-09-continual-learning-catastrophic-forgetting-ai-agents/</w:t>
      </w:r>
    </w:p>
    <w:p>
      <w:pPr>
        <w:spacing w:after="140" w:line="264"/>
      </w:pPr>
      <w:r>
        <w:rPr>
          <w:b/>
          <w:bCs/>
          <w:sz w:val="18"/>
          <w:szCs w:val="18"/>
        </w:rPr>
        <w:t xml:space="preserve">[4] </w:t>
      </w:r>
      <w:r>
        <w:rPr>
          <w:color w:val="595959"/>
          <w:sz w:val="18"/>
          <w:szCs w:val="18"/>
        </w:rPr>
        <w:t xml:space="preserve">Co-Scientist: A multi-agent AI partner to accelerate research. Google DeepMind, 2026. Multi-Agenten-Turnierverfahren aus Generierungs-, Reflexions-, Ranking- und Evolutionsagenten. https://deepmind.google/blog/co-scientist-a-multi-agent-ai-partner-to-accelerate-research/</w:t>
      </w:r>
    </w:p>
    <w:p>
      <w:pPr>
        <w:spacing w:after="140" w:line="264"/>
      </w:pPr>
      <w:r>
        <w:rPr>
          <w:b/>
          <w:bCs/>
          <w:sz w:val="18"/>
          <w:szCs w:val="18"/>
        </w:rPr>
        <w:t xml:space="preserve">[5] </w:t>
      </w:r>
      <w:r>
        <w:rPr>
          <w:color w:val="595959"/>
          <w:sz w:val="18"/>
          <w:szCs w:val="18"/>
        </w:rPr>
        <w:t xml:space="preserve">The Architecture of Self-Driving Labs: Closed-Loop Systems, 2026. Komponenten und Engpässe geschlossener autonomer Labore (KI-Orchestrator, Robotik, Sensorik, Cloud-Infrastruktur; Interpretierbarkeit, Kosten, Rollenwandel). https://science-technology.news-articles.net/content/2026/06/05/the-architecture-of-self-driving-labs-closed-loop-systems.html</w:t>
      </w:r>
    </w:p>
    <w:p>
      <w:pPr>
        <w:spacing w:after="140" w:line="264"/>
      </w:pPr>
      <w:r>
        <w:rPr>
          <w:b/>
          <w:bCs/>
          <w:sz w:val="18"/>
          <w:szCs w:val="18"/>
        </w:rPr>
        <w:t xml:space="preserve">[6] </w:t>
      </w:r>
      <w:r>
        <w:rPr>
          <w:color w:val="595959"/>
          <w:sz w:val="18"/>
          <w:szCs w:val="18"/>
        </w:rPr>
        <w:t xml:space="preserve">The AI Scientist: Towards Fully Automated AI Research, Now Published in Nature. Sakana AI, 2026. Präzedenzfall für vollautomatisierte KI-Forschungssysteme. https://sakana.ai/ai-scientist-nature/</w:t>
      </w:r>
    </w:p>
    <w:p>
      <w:pPr>
        <w:spacing w:after="400"/>
      </w:pPr>
    </w:p>
    <w:p>
      <w:pPr>
        <w:spacing w:before="200"/>
      </w:pPr>
      <w:r>
        <w:rPr>
          <w:i/>
          <w:iCs/>
          <w:color w:val="595959"/>
          <w:sz w:val="18"/>
          <w:szCs w:val="18"/>
        </w:rPr>
        <w:t xml:space="preserve">Hinweis: Dieses Konzeptpapier ist eine technische Architekturskizze auf Basis aktuell verfügbarer Forschung (Stand August 2026). Es ersetzt keine domänenspezifische Sicherheits-, Ethik- oder Regulierungsprüfung vor einer realen Umsetzung.</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Seite </w:t>
    </w:r>
    <w:r>
      <w:rPr>
        <w:color w:val="595959"/>
        <w:sz w:val="16"/>
        <w:szCs w:val="16"/>
      </w:rPr>
      <w:fldChar w:fldCharType="begin"/>
      <w:instrText xml:space="preserve">PAGE</w:instrText>
      <w:fldChar w:fldCharType="separate"/>
      <w:fldChar w:fldCharType="end"/>
    </w:r>
    <w:r>
      <w:rPr>
        <w:color w:val="595959"/>
        <w:sz w:val="16"/>
        <w:szCs w:val="16"/>
      </w:rPr>
      <w:t xml:space="preserve"> von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CONTINUUM — Technisches Konzeptpapier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6B" w:sz="6" w:space="4"/>
      </w:pBdr>
      <w:spacing w:after="240" w:before="480"/>
    </w:pPr>
    <w:rPr>
      <w:rFonts w:ascii="Calibri" w:cs="Calibri" w:eastAsia="Calibri" w:hAnsi="Calibri"/>
      <w:b/>
      <w:bCs/>
      <w:color w:val="1F4E5F"/>
      <w:sz w:val="32"/>
      <w:szCs w:val="32"/>
    </w:rPr>
  </w:style>
  <w:style w:type="paragraph" w:styleId="Heading2">
    <w:name w:val="Heading 2"/>
    <w:basedOn w:val="Normal"/>
    <w:next w:val="Normal"/>
    <w:qFormat/>
    <w:pPr>
      <w:spacing w:after="180" w:before="360"/>
    </w:pPr>
    <w:rPr>
      <w:rFonts w:ascii="Calibri" w:cs="Calibri" w:eastAsia="Calibri" w:hAnsi="Calibri"/>
      <w:b/>
      <w:bCs/>
      <w:color w:val="2E7D6B"/>
      <w:sz w:val="26"/>
      <w:szCs w:val="26"/>
    </w:rPr>
  </w:style>
  <w:style w:type="paragraph" w:styleId="Heading3">
    <w:name w:val="Heading 3"/>
    <w:basedOn w:val="Normal"/>
    <w:next w:val="Normal"/>
    <w:qFormat/>
    <w:pPr>
      <w:spacing w:after="140" w:before="260"/>
    </w:pPr>
    <w:rPr>
      <w:rFonts w:ascii="Calibri" w:cs="Calibri" w:eastAsia="Calibri" w:hAnsi="Calibri"/>
      <w:b/>
      <w:bCs/>
      <w:color w:val="26262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2026-08-07T10:41:23.529Z</dcterms:created>
  <dcterms:modified xsi:type="dcterms:W3CDTF">2026-08-07T10:41:23.531Z</dcterms:modified>
</cp:coreProperties>
</file>

<file path=docProps/custom.xml><?xml version="1.0" encoding="utf-8"?>
<Properties xmlns="http://schemas.openxmlformats.org/officeDocument/2006/custom-properties" xmlns:vt="http://schemas.openxmlformats.org/officeDocument/2006/docPropsVTypes"/>
</file>