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A1D2B"/>
          <w:sz w:val="48"/>
        </w:rPr>
        <w:t>The weekly monitoring brief</w:t>
      </w:r>
    </w:p>
    <w:p>
      <w:pPr>
        <w:spacing w:after="240"/>
      </w:pPr>
      <w:r>
        <w:rPr>
          <w:color w:val="5F5E5A"/>
          <w:sz w:val="18"/>
        </w:rPr>
        <w:t>AI bootcamp for EU affairs, day 9  ·  european campaign playbook  ·  campaignplaybook.eu</w:t>
      </w:r>
    </w:p>
    <w:p>
      <w:pPr>
        <w:spacing w:after="240"/>
      </w:pPr>
      <w:r>
        <w:rPr>
          <w:sz w:val="20"/>
        </w:rPr>
        <w:t>Fill this in before you open any tool. Ten minutes here saves an afternoon inside a configuration screen, and the same page works on Microsoft 365 Copilot, Claude, Mistral and ChatGPT.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 xml:space="preserve">Built on: </w:t>
            </w:r>
          </w:p>
        </w:tc>
        <w:tc>
          <w:tcPr>
            <w:tcW w:type="dxa" w:w="3324"/>
          </w:tcPr>
          <w:p>
            <w:r>
              <w:t xml:space="preserve">Owner: </w:t>
            </w:r>
          </w:p>
        </w:tc>
        <w:tc>
          <w:tcPr>
            <w:tcW w:type="dxa" w:w="3324"/>
          </w:tcPr>
          <w:p>
            <w:r>
              <w:t xml:space="preserve">Date: 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color w:val="2B5F29"/>
              </w:rPr>
              <w:t>Element</w:t>
            </w:r>
          </w:p>
        </w:tc>
        <w:tc>
          <w:tcPr>
            <w:tcW w:type="dxa" w:w="3324"/>
          </w:tcPr>
          <w:p>
            <w:r>
              <w:rPr>
                <w:b/>
                <w:color w:val="2B5F29"/>
              </w:rPr>
              <w:t>Example</w:t>
            </w:r>
          </w:p>
        </w:tc>
        <w:tc>
          <w:tcPr>
            <w:tcW w:type="dxa" w:w="3324"/>
          </w:tcPr>
          <w:p>
            <w:r>
              <w:rPr>
                <w:b/>
                <w:color w:val="2B5F29"/>
              </w:rPr>
              <w:t>Yours</w:t>
            </w:r>
          </w:p>
        </w:tc>
      </w:tr>
      <w:tr>
        <w:tc>
          <w:tcPr>
            <w:tcW w:type="dxa" w:w="3324"/>
          </w:tcPr>
          <w:p>
            <w:r>
              <w:rPr>
                <w:b/>
              </w:rPr>
              <w:t>Mission</w:t>
            </w:r>
          </w:p>
        </w:tc>
        <w:tc>
          <w:tcPr>
            <w:tcW w:type="dxa" w:w="3324"/>
          </w:tcPr>
          <w:p>
            <w:r>
              <w:rPr>
                <w:color w:val="5F5E5A"/>
                <w:sz w:val="18"/>
              </w:rPr>
              <w:t>Monitor our priority EU issue, weekly</w:t>
            </w:r>
          </w:p>
        </w:tc>
        <w:tc>
          <w:tcPr>
            <w:tcW w:type="dxa" w:w="3324"/>
          </w:tcPr>
          <w:p>
            <w:r/>
          </w:p>
        </w:tc>
      </w:tr>
      <w:tr>
        <w:tc>
          <w:tcPr>
            <w:tcW w:type="dxa" w:w="3324"/>
          </w:tcPr>
          <w:p>
            <w:r>
              <w:rPr>
                <w:b/>
              </w:rPr>
              <w:t>Keywords</w:t>
            </w:r>
          </w:p>
        </w:tc>
        <w:tc>
          <w:tcPr>
            <w:tcW w:type="dxa" w:w="3324"/>
          </w:tcPr>
          <w:p>
            <w:r>
              <w:rPr>
                <w:color w:val="5F5E5A"/>
                <w:sz w:val="18"/>
              </w:rPr>
              <w:t>Democracy Shield, electoral integrity, political advertising</w:t>
            </w:r>
          </w:p>
        </w:tc>
        <w:tc>
          <w:tcPr>
            <w:tcW w:type="dxa" w:w="3324"/>
          </w:tcPr>
          <w:p>
            <w:r/>
          </w:p>
        </w:tc>
      </w:tr>
      <w:tr>
        <w:tc>
          <w:tcPr>
            <w:tcW w:type="dxa" w:w="3324"/>
          </w:tcPr>
          <w:p>
            <w:r>
              <w:rPr>
                <w:b/>
              </w:rPr>
              <w:t>Organisations</w:t>
            </w:r>
          </w:p>
        </w:tc>
        <w:tc>
          <w:tcPr>
            <w:tcW w:type="dxa" w:w="3324"/>
          </w:tcPr>
          <w:p>
            <w:r>
              <w:rPr>
                <w:color w:val="5F5E5A"/>
                <w:sz w:val="18"/>
              </w:rPr>
              <w:t>Commission, Parliament, the relevant committees</w:t>
            </w:r>
          </w:p>
        </w:tc>
        <w:tc>
          <w:tcPr>
            <w:tcW w:type="dxa" w:w="3324"/>
          </w:tcPr>
          <w:p>
            <w:r/>
          </w:p>
        </w:tc>
      </w:tr>
      <w:tr>
        <w:tc>
          <w:tcPr>
            <w:tcW w:type="dxa" w:w="3324"/>
          </w:tcPr>
          <w:p>
            <w:r>
              <w:rPr>
                <w:b/>
              </w:rPr>
              <w:t>Knowledge</w:t>
            </w:r>
          </w:p>
        </w:tc>
        <w:tc>
          <w:tcPr>
            <w:tcW w:type="dxa" w:w="3324"/>
          </w:tcPr>
          <w:p>
            <w:r>
              <w:rPr>
                <w:color w:val="5F5E5A"/>
                <w:sz w:val="18"/>
              </w:rPr>
              <w:t>Organisation brief and approved positions</w:t>
            </w:r>
          </w:p>
        </w:tc>
        <w:tc>
          <w:tcPr>
            <w:tcW w:type="dxa" w:w="3324"/>
          </w:tcPr>
          <w:p>
            <w:r/>
          </w:p>
        </w:tc>
      </w:tr>
      <w:tr>
        <w:tc>
          <w:tcPr>
            <w:tcW w:type="dxa" w:w="3324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3324"/>
          </w:tcPr>
          <w:p>
            <w:r>
              <w:rPr>
                <w:color w:val="5F5E5A"/>
                <w:sz w:val="18"/>
              </w:rPr>
              <w:t>EU primary sources plus an approved media list</w:t>
            </w:r>
          </w:p>
        </w:tc>
        <w:tc>
          <w:tcPr>
            <w:tcW w:type="dxa" w:w="3324"/>
          </w:tcPr>
          <w:p>
            <w:r/>
          </w:p>
        </w:tc>
      </w:tr>
      <w:tr>
        <w:tc>
          <w:tcPr>
            <w:tcW w:type="dxa" w:w="3324"/>
          </w:tcPr>
          <w:p>
            <w:r>
              <w:rPr>
                <w:b/>
              </w:rPr>
              <w:t>Output</w:t>
            </w:r>
          </w:p>
        </w:tc>
        <w:tc>
          <w:tcPr>
            <w:tcW w:type="dxa" w:w="3324"/>
          </w:tcPr>
          <w:p>
            <w:r>
              <w:rPr>
                <w:color w:val="5F5E5A"/>
                <w:sz w:val="18"/>
              </w:rPr>
              <w:t>One page, same shape every week</w:t>
            </w:r>
          </w:p>
        </w:tc>
        <w:tc>
          <w:tcPr>
            <w:tcW w:type="dxa" w:w="3324"/>
          </w:tcPr>
          <w:p>
            <w:r/>
          </w:p>
        </w:tc>
      </w:tr>
      <w:tr>
        <w:tc>
          <w:tcPr>
            <w:tcW w:type="dxa" w:w="3324"/>
          </w:tcPr>
          <w:p>
            <w:r>
              <w:rPr>
                <w:b/>
              </w:rPr>
              <w:t>Frequency</w:t>
            </w:r>
          </w:p>
        </w:tc>
        <w:tc>
          <w:tcPr>
            <w:tcW w:type="dxa" w:w="3324"/>
          </w:tcPr>
          <w:p>
            <w:r>
              <w:rPr>
                <w:color w:val="5F5E5A"/>
                <w:sz w:val="18"/>
              </w:rPr>
              <w:t>Monday morning, where scheduling exists</w:t>
            </w:r>
          </w:p>
        </w:tc>
        <w:tc>
          <w:tcPr>
            <w:tcW w:type="dxa" w:w="3324"/>
          </w:tcPr>
          <w:p>
            <w:r/>
          </w:p>
        </w:tc>
      </w:tr>
      <w:tr>
        <w:tc>
          <w:tcPr>
            <w:tcW w:type="dxa" w:w="3324"/>
          </w:tcPr>
          <w:p>
            <w:r>
              <w:rPr>
                <w:b/>
              </w:rPr>
              <w:t>Boundary</w:t>
            </w:r>
          </w:p>
        </w:tc>
        <w:tc>
          <w:tcPr>
            <w:tcW w:type="dxa" w:w="3324"/>
          </w:tcPr>
          <w:p>
            <w:r>
              <w:rPr>
                <w:color w:val="5F5E5A"/>
                <w:sz w:val="18"/>
              </w:rPr>
              <w:t>Internal draft only</w:t>
            </w:r>
          </w:p>
        </w:tc>
        <w:tc>
          <w:tcPr>
            <w:tcW w:type="dxa" w:w="3324"/>
          </w:tcPr>
          <w:p>
            <w:r/>
          </w:p>
        </w:tc>
      </w:tr>
      <w:tr>
        <w:tc>
          <w:tcPr>
            <w:tcW w:type="dxa" w:w="3324"/>
          </w:tcPr>
          <w:p>
            <w:r>
              <w:rPr>
                <w:b/>
              </w:rPr>
              <w:t>Human owner</w:t>
            </w:r>
          </w:p>
        </w:tc>
        <w:tc>
          <w:tcPr>
            <w:tcW w:type="dxa" w:w="3324"/>
          </w:tcPr>
          <w:p>
            <w:r>
              <w:rPr>
                <w:color w:val="5F5E5A"/>
                <w:sz w:val="18"/>
              </w:rPr>
              <w:t>A named person, not the team</w:t>
            </w:r>
          </w:p>
        </w:tc>
        <w:tc>
          <w:tcPr>
            <w:tcW w:type="dxa" w:w="3324"/>
          </w:tcPr>
          <w:p>
            <w:r/>
          </w:p>
        </w:tc>
      </w:tr>
    </w:tbl>
    <w:p>
      <w:pPr>
        <w:spacing w:before="240"/>
      </w:pPr>
      <w:r>
        <w:rPr>
          <w:b/>
          <w:color w:val="2B5F29"/>
        </w:rPr>
        <w:t xml:space="preserve">The last two rows matter more than the first seven. </w:t>
      </w:r>
      <w:r>
        <w:rPr>
          <w:color w:val="5F5E5A"/>
        </w:rPr>
        <w:t>A boundary nobody wrote down is a boundary nobody set, and a team is not an owner.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