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E1F7B" w14:textId="77777777" w:rsidR="00615298" w:rsidRDefault="00000000" w:rsidP="00B14950">
      <w:pPr>
        <w:pStyle w:val="Apa"/>
      </w:pPr>
      <w:r>
        <w:rPr>
          <w:b/>
        </w:rPr>
        <w:br/>
        <w:t>UNIVERSIDAD EAN</w:t>
      </w:r>
      <w:r>
        <w:rPr>
          <w:b/>
        </w:rPr>
        <w:br/>
        <w:t>Actividad 1. Patrones de diseño de Software</w:t>
      </w:r>
      <w:r>
        <w:rPr>
          <w:b/>
        </w:rPr>
        <w:br/>
      </w:r>
      <w:r>
        <w:rPr>
          <w:b/>
        </w:rPr>
        <w:br/>
        <w:t>INFORME TÉCNICO</w:t>
      </w:r>
      <w:r>
        <w:rPr>
          <w:b/>
        </w:rPr>
        <w:br/>
      </w:r>
      <w:r>
        <w:t>Mapas conceptuales: MVC, Observer y Singleton</w:t>
      </w:r>
      <w:r>
        <w:br/>
      </w:r>
      <w:r>
        <w:br/>
        <w:t>Estudiante: Sebastián Rodríguez Duarte</w:t>
      </w:r>
      <w:r>
        <w:br/>
        <w:t>Fecha: 23 de agosto de 2026</w:t>
      </w:r>
      <w:r>
        <w:br/>
      </w:r>
    </w:p>
    <w:p w14:paraId="4DAA9989" w14:textId="77777777" w:rsidR="00615298" w:rsidRDefault="00000000" w:rsidP="00B14950">
      <w:pPr>
        <w:pStyle w:val="Apa"/>
        <w:jc w:val="left"/>
      </w:pPr>
      <w:r>
        <w:br w:type="page"/>
      </w:r>
    </w:p>
    <w:p w14:paraId="24D0ED52" w14:textId="77777777" w:rsidR="00615298" w:rsidRPr="00B14950" w:rsidRDefault="00000000" w:rsidP="00B14950">
      <w:pPr>
        <w:pStyle w:val="Apa"/>
        <w:jc w:val="left"/>
        <w:rPr>
          <w:b/>
          <w:bCs/>
          <w:color w:val="4F81BD" w:themeColor="accent1"/>
        </w:rPr>
      </w:pPr>
      <w:r w:rsidRPr="00B14950">
        <w:rPr>
          <w:b/>
          <w:bCs/>
          <w:color w:val="4F81BD" w:themeColor="accent1"/>
        </w:rPr>
        <w:lastRenderedPageBreak/>
        <w:t>1. Introducción</w:t>
      </w:r>
    </w:p>
    <w:p w14:paraId="7E2D2060" w14:textId="77777777" w:rsidR="00615298" w:rsidRDefault="00000000" w:rsidP="00B14950">
      <w:pPr>
        <w:pStyle w:val="Apa"/>
        <w:jc w:val="left"/>
      </w:pPr>
      <w:r>
        <w:t xml:space="preserve">El presente informe técnico presenta evidencia del estudio y representación conceptual de tres patrones de diseño de software: Modelo-Vista-Controlador (MVC), Observer y Singleton. Los patrones de diseño proporcionan soluciones reutilizables para problemas frecuentes de diseño y ayudan </w:t>
      </w:r>
      <w:proofErr w:type="gramStart"/>
      <w:r>
        <w:t>a</w:t>
      </w:r>
      <w:proofErr w:type="gramEnd"/>
      <w:r>
        <w:t xml:space="preserve"> organizar las responsabilidades y relaciones entre los componentes de una aplicación.</w:t>
      </w:r>
    </w:p>
    <w:p w14:paraId="24400EEB" w14:textId="77777777" w:rsidR="00615298" w:rsidRDefault="00000000" w:rsidP="00B14950">
      <w:pPr>
        <w:pStyle w:val="Apa"/>
        <w:jc w:val="left"/>
      </w:pPr>
      <w:r>
        <w:t>Para esta actividad se elaboraron tres mapas conceptuales, uno por cada patrón seleccionado, con el fin de resumir sus características, propósito, componentes, funcionamiento, ventajas y consideraciones de uso.</w:t>
      </w:r>
    </w:p>
    <w:p w14:paraId="48891394" w14:textId="77777777" w:rsidR="00615298" w:rsidRPr="00B14950" w:rsidRDefault="00000000" w:rsidP="00B14950">
      <w:pPr>
        <w:pStyle w:val="Apa"/>
        <w:jc w:val="left"/>
        <w:rPr>
          <w:b/>
          <w:bCs/>
          <w:color w:val="4F81BD" w:themeColor="accent1"/>
        </w:rPr>
      </w:pPr>
      <w:r w:rsidRPr="00B14950">
        <w:rPr>
          <w:b/>
          <w:bCs/>
          <w:color w:val="4F81BD" w:themeColor="accent1"/>
        </w:rPr>
        <w:t>2. Objetivo</w:t>
      </w:r>
    </w:p>
    <w:p w14:paraId="4DC0F62C" w14:textId="77777777" w:rsidR="00615298" w:rsidRPr="00B14950" w:rsidRDefault="00000000" w:rsidP="00B14950">
      <w:pPr>
        <w:pStyle w:val="Apa"/>
        <w:jc w:val="left"/>
        <w:rPr>
          <w:b/>
          <w:bCs/>
          <w:color w:val="4F81BD" w:themeColor="accent1"/>
        </w:rPr>
      </w:pPr>
      <w:r>
        <w:t xml:space="preserve">Identificar y representar mediante mapas conceptuales las características principales de los patrones MVC, Observer y Singleton, comprendiendo su propósito, estructura, relaciones entre </w:t>
      </w:r>
      <w:r w:rsidRPr="00B14950">
        <w:t>componentes y posibles usos dentro del desarrollo de software.</w:t>
      </w:r>
    </w:p>
    <w:p w14:paraId="7EB0D4EA" w14:textId="77777777" w:rsidR="00615298" w:rsidRPr="00B14950" w:rsidRDefault="00000000" w:rsidP="00B14950">
      <w:pPr>
        <w:pStyle w:val="Apa"/>
        <w:jc w:val="left"/>
        <w:rPr>
          <w:b/>
          <w:bCs/>
          <w:color w:val="4F81BD" w:themeColor="accent1"/>
        </w:rPr>
      </w:pPr>
      <w:r w:rsidRPr="00B14950">
        <w:rPr>
          <w:b/>
          <w:bCs/>
          <w:color w:val="4F81BD" w:themeColor="accent1"/>
        </w:rPr>
        <w:t>3. ¿Qué es un patrón de diseño?</w:t>
      </w:r>
    </w:p>
    <w:p w14:paraId="60E51A87" w14:textId="24E1A482" w:rsidR="00615298" w:rsidRDefault="00000000" w:rsidP="00B14950">
      <w:pPr>
        <w:pStyle w:val="Apa"/>
        <w:jc w:val="left"/>
      </w:pPr>
      <w:r>
        <w:t xml:space="preserve">Un patrón de diseño es una solución general y reutilizable para un problema recurrente de diseño de software. No corresponde a un código terminado que deba copiarse literalmente, sino a una guía que permite organizar clases y objetos de una manera que facilite la reutilización, el mantenimiento y la </w:t>
      </w:r>
      <w:proofErr w:type="spellStart"/>
      <w:r w:rsidRPr="00B14950">
        <w:t>evolución</w:t>
      </w:r>
      <w:proofErr w:type="spellEnd"/>
      <w:r w:rsidRPr="00B14950">
        <w:t xml:space="preserve"> del </w:t>
      </w:r>
      <w:proofErr w:type="spellStart"/>
      <w:r w:rsidRPr="00B14950">
        <w:t>sistema</w:t>
      </w:r>
      <w:proofErr w:type="spellEnd"/>
      <w:r w:rsidRPr="00B14950">
        <w:t>.</w:t>
      </w:r>
    </w:p>
    <w:p w14:paraId="26071F2C" w14:textId="7798FC03" w:rsidR="00B14950" w:rsidRDefault="00B14950" w:rsidP="00B14950">
      <w:pPr>
        <w:pStyle w:val="Apa"/>
        <w:jc w:val="left"/>
      </w:pPr>
      <w:r w:rsidRPr="00B14950">
        <w:lastRenderedPageBreak/>
        <w:drawing>
          <wp:inline distT="0" distB="0" distL="0" distR="0" wp14:anchorId="4308F301" wp14:editId="6892D5D7">
            <wp:extent cx="3881120" cy="5153025"/>
            <wp:effectExtent l="0" t="0" r="5080" b="9525"/>
            <wp:docPr id="19947112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7112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81120" cy="515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EF0DB" w14:textId="77777777" w:rsidR="00B14950" w:rsidRDefault="00B14950" w:rsidP="00B14950">
      <w:pPr>
        <w:pStyle w:val="Apa"/>
        <w:jc w:val="left"/>
      </w:pPr>
    </w:p>
    <w:p w14:paraId="2A2CAAA6" w14:textId="77777777" w:rsidR="00B14950" w:rsidRPr="00B14950" w:rsidRDefault="00B14950" w:rsidP="00B14950">
      <w:pPr>
        <w:pStyle w:val="Apa"/>
        <w:jc w:val="left"/>
        <w:rPr>
          <w:b/>
          <w:bCs/>
          <w:color w:val="4F81BD" w:themeColor="accent1"/>
        </w:rPr>
      </w:pPr>
    </w:p>
    <w:p w14:paraId="5037A142" w14:textId="77777777" w:rsidR="00615298" w:rsidRPr="00B14950" w:rsidRDefault="00000000" w:rsidP="00B14950">
      <w:pPr>
        <w:pStyle w:val="Apa"/>
        <w:jc w:val="left"/>
        <w:rPr>
          <w:b/>
          <w:bCs/>
          <w:color w:val="4F81BD" w:themeColor="accent1"/>
        </w:rPr>
      </w:pPr>
      <w:r w:rsidRPr="00B14950">
        <w:rPr>
          <w:b/>
          <w:bCs/>
          <w:color w:val="4F81BD" w:themeColor="accent1"/>
        </w:rPr>
        <w:t>4. Patrón Modelo-Vista-Controlador (MVC)</w:t>
      </w:r>
    </w:p>
    <w:p w14:paraId="01323041" w14:textId="77777777" w:rsidR="00615298" w:rsidRDefault="00000000" w:rsidP="00B14950">
      <w:pPr>
        <w:pStyle w:val="Apa"/>
        <w:jc w:val="left"/>
      </w:pPr>
      <w:r>
        <w:t>MVC separa una aplicación en tres responsabilidades principales. El Modelo representa los datos y la lógica de negocio; la Vista presenta la información y permite la interacción con el usuario; y el Controlador gestiona los eventos y coordina la comunicación entre la Vista y el Modelo.</w:t>
      </w:r>
    </w:p>
    <w:p w14:paraId="7D71E7D4" w14:textId="4CAE876C" w:rsidR="00615298" w:rsidRDefault="00B14950" w:rsidP="00B14950">
      <w:pPr>
        <w:pStyle w:val="Apa"/>
        <w:jc w:val="left"/>
      </w:pPr>
      <w:r>
        <w:rPr>
          <w:noProof/>
        </w:rPr>
        <w:lastRenderedPageBreak/>
        <w:drawing>
          <wp:inline distT="0" distB="0" distL="0" distR="0" wp14:anchorId="650137D4" wp14:editId="2644B0A7">
            <wp:extent cx="3505835" cy="8134350"/>
            <wp:effectExtent l="0" t="0" r="0" b="0"/>
            <wp:docPr id="15553405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835" cy="8134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5D7B564" w14:textId="77777777" w:rsidR="00615298" w:rsidRDefault="00000000" w:rsidP="00B14950">
      <w:pPr>
        <w:pStyle w:val="Apa"/>
        <w:jc w:val="left"/>
      </w:pPr>
      <w:r>
        <w:lastRenderedPageBreak/>
        <w:t>Figura 1. Mapa conceptual del patrón Modelo-Vista-Controlador (MVC).</w:t>
      </w:r>
    </w:p>
    <w:p w14:paraId="0F5688A2" w14:textId="77777777" w:rsidR="00615298" w:rsidRPr="00744B3B" w:rsidRDefault="00000000" w:rsidP="00B14950">
      <w:pPr>
        <w:pStyle w:val="Apa"/>
        <w:jc w:val="left"/>
        <w:rPr>
          <w:b/>
          <w:bCs/>
          <w:color w:val="4F81BD" w:themeColor="accent1"/>
        </w:rPr>
      </w:pPr>
      <w:r w:rsidRPr="00744B3B">
        <w:rPr>
          <w:b/>
          <w:bCs/>
          <w:color w:val="4F81BD" w:themeColor="accent1"/>
        </w:rPr>
        <w:t>5. Patrón Observer</w:t>
      </w:r>
    </w:p>
    <w:p w14:paraId="05C47763" w14:textId="77777777" w:rsidR="00615298" w:rsidRDefault="00000000" w:rsidP="00B14950">
      <w:pPr>
        <w:pStyle w:val="Apa"/>
        <w:jc w:val="left"/>
      </w:pPr>
      <w:r>
        <w:t>Observer establece una relación de uno a muchos entre objetos. Un objeto sujeto mantiene su estado y una colección de observadores. Cuando el estado cambia, el sujeto notifica a los observadores para que estos actualicen su comportamiento. Este enfoque favorece un menor acoplamiento entre el objeto que genera el cambio y los objetos que reaccionan a él.</w:t>
      </w:r>
    </w:p>
    <w:p w14:paraId="5D24BDD8" w14:textId="1731C065" w:rsidR="00615298" w:rsidRDefault="00B14950" w:rsidP="00B14950">
      <w:pPr>
        <w:pStyle w:val="Apa"/>
        <w:jc w:val="left"/>
      </w:pPr>
      <w:r w:rsidRPr="00B14950">
        <w:drawing>
          <wp:inline distT="0" distB="0" distL="0" distR="0" wp14:anchorId="6AAEADD8" wp14:editId="26CECB40">
            <wp:extent cx="3495675" cy="4295775"/>
            <wp:effectExtent l="0" t="0" r="9525" b="9525"/>
            <wp:docPr id="9549769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9769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96164" cy="429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4001A" w14:textId="77777777" w:rsidR="00615298" w:rsidRDefault="00000000" w:rsidP="00B14950">
      <w:pPr>
        <w:pStyle w:val="Apa"/>
        <w:jc w:val="left"/>
      </w:pPr>
      <w:r>
        <w:t>Figura 2. Mapa conceptual del patrón Observer.</w:t>
      </w:r>
    </w:p>
    <w:p w14:paraId="79D4D037" w14:textId="77777777" w:rsidR="00615298" w:rsidRPr="00B14950" w:rsidRDefault="00000000" w:rsidP="00B14950">
      <w:pPr>
        <w:pStyle w:val="Apa"/>
        <w:jc w:val="left"/>
        <w:rPr>
          <w:b/>
          <w:bCs/>
          <w:color w:val="4F81BD" w:themeColor="accent1"/>
        </w:rPr>
      </w:pPr>
      <w:r w:rsidRPr="00B14950">
        <w:rPr>
          <w:b/>
          <w:bCs/>
          <w:color w:val="4F81BD" w:themeColor="accent1"/>
        </w:rPr>
        <w:t>6. Patrón Singleton</w:t>
      </w:r>
    </w:p>
    <w:p w14:paraId="7444C7F6" w14:textId="77777777" w:rsidR="00615298" w:rsidRDefault="00000000" w:rsidP="00B14950">
      <w:pPr>
        <w:pStyle w:val="Apa"/>
        <w:jc w:val="left"/>
      </w:pPr>
      <w:r>
        <w:t xml:space="preserve">Singleton busca garantizar que una clase tenga una única instancia y proporcionar un punto de acceso controlado </w:t>
      </w:r>
      <w:proofErr w:type="gramStart"/>
      <w:r>
        <w:t>a</w:t>
      </w:r>
      <w:proofErr w:type="gramEnd"/>
      <w:r>
        <w:t xml:space="preserve"> ella. Puede resultar útil cuando se requiere coordinar un recurso compartido o </w:t>
      </w:r>
      <w:r>
        <w:lastRenderedPageBreak/>
        <w:t>mantener una configuración centralizada. Sin embargo, su uso debe evaluarse cuidadosamente porque el estado global puede aumentar el acoplamiento y dificultar las pruebas.</w:t>
      </w:r>
    </w:p>
    <w:p w14:paraId="0DB81D7C" w14:textId="1E14E631" w:rsidR="00615298" w:rsidRDefault="00B14950" w:rsidP="00B14950">
      <w:pPr>
        <w:pStyle w:val="Apa"/>
        <w:jc w:val="left"/>
      </w:pPr>
      <w:r w:rsidRPr="00B14950">
        <w:drawing>
          <wp:inline distT="0" distB="0" distL="0" distR="0" wp14:anchorId="22CFB3CE" wp14:editId="766F9B2C">
            <wp:extent cx="3844290" cy="5438775"/>
            <wp:effectExtent l="0" t="0" r="3810" b="9525"/>
            <wp:docPr id="14015735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5735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44290" cy="543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FCDEC" w14:textId="77777777" w:rsidR="00615298" w:rsidRDefault="00000000" w:rsidP="00B14950">
      <w:pPr>
        <w:pStyle w:val="Apa"/>
        <w:jc w:val="left"/>
      </w:pPr>
      <w:r>
        <w:t>Figura 3. Mapa conceptual del patrón Singleton.</w:t>
      </w:r>
    </w:p>
    <w:p w14:paraId="6F9BD98E" w14:textId="77777777" w:rsidR="00615298" w:rsidRPr="00744B3B" w:rsidRDefault="00000000" w:rsidP="00B14950">
      <w:pPr>
        <w:pStyle w:val="Apa"/>
        <w:jc w:val="left"/>
        <w:rPr>
          <w:b/>
          <w:bCs/>
          <w:color w:val="4F81BD" w:themeColor="accent1"/>
        </w:rPr>
      </w:pPr>
      <w:r w:rsidRPr="00744B3B">
        <w:rPr>
          <w:b/>
          <w:bCs/>
          <w:color w:val="4F81BD" w:themeColor="accent1"/>
        </w:rPr>
        <w:t>7. Comparación de los tres patrones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337"/>
        <w:gridCol w:w="2337"/>
        <w:gridCol w:w="2337"/>
        <w:gridCol w:w="2339"/>
      </w:tblGrid>
      <w:tr w:rsidR="00615298" w14:paraId="202355EF" w14:textId="77777777">
        <w:trPr>
          <w:jc w:val="center"/>
        </w:trPr>
        <w:tc>
          <w:tcPr>
            <w:tcW w:w="2340" w:type="dxa"/>
          </w:tcPr>
          <w:p w14:paraId="48F6227C" w14:textId="77777777" w:rsidR="00615298" w:rsidRDefault="00000000" w:rsidP="00B14950">
            <w:pPr>
              <w:pStyle w:val="Apa"/>
              <w:jc w:val="left"/>
            </w:pPr>
            <w:r>
              <w:t>Patrón</w:t>
            </w:r>
          </w:p>
        </w:tc>
        <w:tc>
          <w:tcPr>
            <w:tcW w:w="2340" w:type="dxa"/>
          </w:tcPr>
          <w:p w14:paraId="2595B94E" w14:textId="77777777" w:rsidR="00615298" w:rsidRDefault="00000000" w:rsidP="00B14950">
            <w:pPr>
              <w:pStyle w:val="Apa"/>
              <w:jc w:val="left"/>
            </w:pPr>
            <w:r>
              <w:t>Propósito</w:t>
            </w:r>
          </w:p>
        </w:tc>
        <w:tc>
          <w:tcPr>
            <w:tcW w:w="2340" w:type="dxa"/>
          </w:tcPr>
          <w:p w14:paraId="7BF29908" w14:textId="77777777" w:rsidR="00615298" w:rsidRDefault="00000000" w:rsidP="00B14950">
            <w:pPr>
              <w:pStyle w:val="Apa"/>
              <w:jc w:val="left"/>
            </w:pPr>
            <w:r>
              <w:t>Elemento central</w:t>
            </w:r>
          </w:p>
        </w:tc>
        <w:tc>
          <w:tcPr>
            <w:tcW w:w="2340" w:type="dxa"/>
          </w:tcPr>
          <w:p w14:paraId="24E5D4D9" w14:textId="77777777" w:rsidR="00615298" w:rsidRDefault="00000000" w:rsidP="00B14950">
            <w:pPr>
              <w:pStyle w:val="Apa"/>
              <w:jc w:val="left"/>
            </w:pPr>
            <w:r>
              <w:t>Beneficio principal</w:t>
            </w:r>
          </w:p>
        </w:tc>
      </w:tr>
      <w:tr w:rsidR="00615298" w14:paraId="4399EFE3" w14:textId="77777777">
        <w:trPr>
          <w:jc w:val="center"/>
        </w:trPr>
        <w:tc>
          <w:tcPr>
            <w:tcW w:w="2340" w:type="dxa"/>
          </w:tcPr>
          <w:p w14:paraId="06A48825" w14:textId="77777777" w:rsidR="00615298" w:rsidRDefault="00000000" w:rsidP="00B14950">
            <w:pPr>
              <w:pStyle w:val="Apa"/>
              <w:jc w:val="left"/>
            </w:pPr>
            <w:r>
              <w:lastRenderedPageBreak/>
              <w:t>MVC</w:t>
            </w:r>
          </w:p>
        </w:tc>
        <w:tc>
          <w:tcPr>
            <w:tcW w:w="2340" w:type="dxa"/>
          </w:tcPr>
          <w:p w14:paraId="7107B081" w14:textId="77777777" w:rsidR="00615298" w:rsidRDefault="00000000" w:rsidP="00B14950">
            <w:pPr>
              <w:pStyle w:val="Apa"/>
              <w:jc w:val="left"/>
            </w:pPr>
            <w:r>
              <w:t>Separar presentación, control y lógica/datos.</w:t>
            </w:r>
          </w:p>
        </w:tc>
        <w:tc>
          <w:tcPr>
            <w:tcW w:w="2340" w:type="dxa"/>
          </w:tcPr>
          <w:p w14:paraId="4F0B467D" w14:textId="77777777" w:rsidR="00615298" w:rsidRDefault="00000000" w:rsidP="00B14950">
            <w:pPr>
              <w:pStyle w:val="Apa"/>
              <w:jc w:val="left"/>
            </w:pPr>
            <w:r>
              <w:t>Modelo, Vista y Controlador</w:t>
            </w:r>
          </w:p>
        </w:tc>
        <w:tc>
          <w:tcPr>
            <w:tcW w:w="2340" w:type="dxa"/>
          </w:tcPr>
          <w:p w14:paraId="7E9C0C89" w14:textId="77777777" w:rsidR="00615298" w:rsidRDefault="00000000" w:rsidP="00B14950">
            <w:pPr>
              <w:pStyle w:val="Apa"/>
              <w:jc w:val="left"/>
            </w:pPr>
            <w:r>
              <w:t>Organización y mantenimiento.</w:t>
            </w:r>
          </w:p>
        </w:tc>
      </w:tr>
      <w:tr w:rsidR="00615298" w14:paraId="2744FB42" w14:textId="77777777">
        <w:trPr>
          <w:jc w:val="center"/>
        </w:trPr>
        <w:tc>
          <w:tcPr>
            <w:tcW w:w="2340" w:type="dxa"/>
          </w:tcPr>
          <w:p w14:paraId="0394A4B8" w14:textId="77777777" w:rsidR="00615298" w:rsidRDefault="00000000" w:rsidP="00B14950">
            <w:pPr>
              <w:pStyle w:val="Apa"/>
              <w:jc w:val="left"/>
            </w:pPr>
            <w:r>
              <w:t>Observer</w:t>
            </w:r>
          </w:p>
        </w:tc>
        <w:tc>
          <w:tcPr>
            <w:tcW w:w="2340" w:type="dxa"/>
          </w:tcPr>
          <w:p w14:paraId="787FE4BB" w14:textId="77777777" w:rsidR="00615298" w:rsidRDefault="00000000" w:rsidP="00B14950">
            <w:pPr>
              <w:pStyle w:val="Apa"/>
              <w:jc w:val="left"/>
            </w:pPr>
            <w:r>
              <w:t xml:space="preserve">Notificar cambios de un objeto </w:t>
            </w:r>
            <w:proofErr w:type="gramStart"/>
            <w:r>
              <w:t>a</w:t>
            </w:r>
            <w:proofErr w:type="gramEnd"/>
            <w:r>
              <w:t xml:space="preserve"> otros.</w:t>
            </w:r>
          </w:p>
        </w:tc>
        <w:tc>
          <w:tcPr>
            <w:tcW w:w="2340" w:type="dxa"/>
          </w:tcPr>
          <w:p w14:paraId="5D76DB7C" w14:textId="77777777" w:rsidR="00615298" w:rsidRDefault="00000000" w:rsidP="00B14950">
            <w:pPr>
              <w:pStyle w:val="Apa"/>
              <w:jc w:val="left"/>
            </w:pPr>
            <w:r>
              <w:t>Sujeto y Observadores</w:t>
            </w:r>
          </w:p>
        </w:tc>
        <w:tc>
          <w:tcPr>
            <w:tcW w:w="2340" w:type="dxa"/>
          </w:tcPr>
          <w:p w14:paraId="33CF0023" w14:textId="77777777" w:rsidR="00615298" w:rsidRDefault="00000000" w:rsidP="00B14950">
            <w:pPr>
              <w:pStyle w:val="Apa"/>
              <w:jc w:val="left"/>
            </w:pPr>
            <w:r>
              <w:t>Bajo acoplamiento y actualización automática.</w:t>
            </w:r>
          </w:p>
        </w:tc>
      </w:tr>
      <w:tr w:rsidR="00615298" w14:paraId="20AFC80D" w14:textId="77777777">
        <w:trPr>
          <w:jc w:val="center"/>
        </w:trPr>
        <w:tc>
          <w:tcPr>
            <w:tcW w:w="2340" w:type="dxa"/>
          </w:tcPr>
          <w:p w14:paraId="1C67E3D4" w14:textId="77777777" w:rsidR="00615298" w:rsidRDefault="00000000" w:rsidP="00B14950">
            <w:pPr>
              <w:pStyle w:val="Apa"/>
              <w:jc w:val="left"/>
            </w:pPr>
            <w:r>
              <w:t>Singleton</w:t>
            </w:r>
          </w:p>
        </w:tc>
        <w:tc>
          <w:tcPr>
            <w:tcW w:w="2340" w:type="dxa"/>
          </w:tcPr>
          <w:p w14:paraId="589BEF1E" w14:textId="77777777" w:rsidR="00615298" w:rsidRDefault="00000000" w:rsidP="00B14950">
            <w:pPr>
              <w:pStyle w:val="Apa"/>
              <w:jc w:val="left"/>
            </w:pPr>
            <w:r>
              <w:t>Controlar la existencia de una única instancia.</w:t>
            </w:r>
          </w:p>
        </w:tc>
        <w:tc>
          <w:tcPr>
            <w:tcW w:w="2340" w:type="dxa"/>
          </w:tcPr>
          <w:p w14:paraId="71312717" w14:textId="77777777" w:rsidR="00615298" w:rsidRDefault="00000000" w:rsidP="00B14950">
            <w:pPr>
              <w:pStyle w:val="Apa"/>
              <w:jc w:val="left"/>
            </w:pPr>
            <w:r>
              <w:t>Instancia única y acceso controlado</w:t>
            </w:r>
          </w:p>
        </w:tc>
        <w:tc>
          <w:tcPr>
            <w:tcW w:w="2340" w:type="dxa"/>
          </w:tcPr>
          <w:p w14:paraId="05B58B5B" w14:textId="77777777" w:rsidR="00615298" w:rsidRDefault="00000000" w:rsidP="00B14950">
            <w:pPr>
              <w:pStyle w:val="Apa"/>
              <w:jc w:val="left"/>
            </w:pPr>
            <w:r>
              <w:t>Centralización de un recurso compartido.</w:t>
            </w:r>
          </w:p>
        </w:tc>
      </w:tr>
    </w:tbl>
    <w:p w14:paraId="129A51B9" w14:textId="77777777" w:rsidR="00615298" w:rsidRPr="00744B3B" w:rsidRDefault="00000000" w:rsidP="00B14950">
      <w:pPr>
        <w:pStyle w:val="Apa"/>
        <w:jc w:val="left"/>
        <w:rPr>
          <w:b/>
          <w:bCs/>
          <w:color w:val="4F81BD" w:themeColor="accent1"/>
        </w:rPr>
      </w:pPr>
      <w:r w:rsidRPr="00744B3B">
        <w:rPr>
          <w:b/>
          <w:bCs/>
          <w:color w:val="4F81BD" w:themeColor="accent1"/>
        </w:rPr>
        <w:t>8. Conclusiones</w:t>
      </w:r>
    </w:p>
    <w:p w14:paraId="453DE61F" w14:textId="77777777" w:rsidR="00615298" w:rsidRDefault="00000000" w:rsidP="00B14950">
      <w:pPr>
        <w:pStyle w:val="Apa"/>
        <w:jc w:val="left"/>
      </w:pPr>
      <w:r>
        <w:t>El análisis de los patrones MVC, Observer y Singleton permite reconocer que cada patrón responde a una necesidad de diseño diferente. MVC se enfoca en separar responsabilidades dentro de una aplicación; Observer facilita la comunicación entre un sujeto y múltiples interesados; y Singleton controla la creación de una instancia cuando existe una necesidad justificada de centralización.</w:t>
      </w:r>
    </w:p>
    <w:p w14:paraId="72B20AC6" w14:textId="77777777" w:rsidR="00615298" w:rsidRDefault="00000000" w:rsidP="00B14950">
      <w:pPr>
        <w:pStyle w:val="Apa"/>
        <w:jc w:val="left"/>
      </w:pPr>
      <w:r>
        <w:t>La elaboración de los mapas conceptuales facilita la comprensión visual de los componentes y relaciones de cada patrón y permite diferenciar sus objetivos antes de decidir cuál aplicar en un proyecto determinado.</w:t>
      </w:r>
    </w:p>
    <w:p w14:paraId="33545421" w14:textId="77777777" w:rsidR="00615298" w:rsidRPr="00744B3B" w:rsidRDefault="00000000" w:rsidP="00B14950">
      <w:pPr>
        <w:pStyle w:val="Apa"/>
        <w:jc w:val="left"/>
        <w:rPr>
          <w:b/>
          <w:bCs/>
          <w:color w:val="4F81BD" w:themeColor="accent1"/>
        </w:rPr>
      </w:pPr>
      <w:r w:rsidRPr="00744B3B">
        <w:rPr>
          <w:b/>
          <w:bCs/>
          <w:color w:val="4F81BD" w:themeColor="accent1"/>
        </w:rPr>
        <w:t>9. Referencias</w:t>
      </w:r>
    </w:p>
    <w:p w14:paraId="452C35C1" w14:textId="77777777" w:rsidR="00615298" w:rsidRDefault="00000000" w:rsidP="00B14950">
      <w:pPr>
        <w:pStyle w:val="Apa"/>
        <w:jc w:val="left"/>
      </w:pPr>
      <w:r>
        <w:t>Gamma, E., Helm, R., Johnson, R., &amp; Vlissides, J. (1994). Design patterns: Elements of reusable object-oriented software. Addison-Wesley.</w:t>
      </w:r>
    </w:p>
    <w:p w14:paraId="4C16F6B1" w14:textId="77777777" w:rsidR="00615298" w:rsidRDefault="00000000" w:rsidP="00B14950">
      <w:pPr>
        <w:pStyle w:val="Apa"/>
        <w:jc w:val="left"/>
      </w:pPr>
      <w:r>
        <w:t>Deitel, P. J., &amp; Deitel, H. M. (2016). Java: Cómo programar (10.ª ed.). Pearson.</w:t>
      </w:r>
    </w:p>
    <w:p w14:paraId="2802CC61" w14:textId="77777777" w:rsidR="00615298" w:rsidRDefault="00000000" w:rsidP="00B14950">
      <w:pPr>
        <w:pStyle w:val="Apa"/>
        <w:jc w:val="left"/>
      </w:pPr>
      <w:r>
        <w:t xml:space="preserve">Villalobos, J. A., &amp; Casallas, R. (2006). Fundamentos de programación orientada </w:t>
      </w:r>
      <w:proofErr w:type="gramStart"/>
      <w:r>
        <w:t>a</w:t>
      </w:r>
      <w:proofErr w:type="gramEnd"/>
      <w:r>
        <w:t xml:space="preserve"> objetos. Universidad de los Andes.</w:t>
      </w:r>
    </w:p>
    <w:sectPr w:rsidR="00615298" w:rsidSect="00B14950">
      <w:footerReference w:type="default" r:id="rId12"/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4DEB59" w14:textId="77777777" w:rsidR="00852F30" w:rsidRDefault="00852F30">
      <w:pPr>
        <w:spacing w:after="0" w:line="240" w:lineRule="auto"/>
      </w:pPr>
      <w:r>
        <w:separator/>
      </w:r>
    </w:p>
  </w:endnote>
  <w:endnote w:type="continuationSeparator" w:id="0">
    <w:p w14:paraId="63EAF91B" w14:textId="77777777" w:rsidR="00852F30" w:rsidRDefault="00852F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E868FF" w14:textId="77777777" w:rsidR="00615298" w:rsidRDefault="00000000">
    <w:pPr>
      <w:pStyle w:val="Piedepgina"/>
      <w:jc w:val="center"/>
    </w:pPr>
    <w:r>
      <w:t xml:space="preserve">Página </w:t>
    </w:r>
    <w:r>
      <w:fldChar w:fldCharType="begin"/>
    </w:r>
    <w:r>
      <w:instrText>PAGE</w:instrText>
    </w:r>
    <w:r>
      <w:fldChar w:fldCharType="separate"/>
    </w:r>
    <w:r w:rsidR="00B14950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B7C7BA" w14:textId="77777777" w:rsidR="00852F30" w:rsidRDefault="00852F30">
      <w:pPr>
        <w:spacing w:after="0" w:line="240" w:lineRule="auto"/>
      </w:pPr>
      <w:r>
        <w:separator/>
      </w:r>
    </w:p>
  </w:footnote>
  <w:footnote w:type="continuationSeparator" w:id="0">
    <w:p w14:paraId="3378482C" w14:textId="77777777" w:rsidR="00852F30" w:rsidRDefault="00852F3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938128">
    <w:abstractNumId w:val="8"/>
  </w:num>
  <w:num w:numId="2" w16cid:durableId="786578939">
    <w:abstractNumId w:val="6"/>
  </w:num>
  <w:num w:numId="3" w16cid:durableId="622687935">
    <w:abstractNumId w:val="5"/>
  </w:num>
  <w:num w:numId="4" w16cid:durableId="999117274">
    <w:abstractNumId w:val="4"/>
  </w:num>
  <w:num w:numId="5" w16cid:durableId="1719209980">
    <w:abstractNumId w:val="7"/>
  </w:num>
  <w:num w:numId="6" w16cid:durableId="255872302">
    <w:abstractNumId w:val="3"/>
  </w:num>
  <w:num w:numId="7" w16cid:durableId="1025013053">
    <w:abstractNumId w:val="2"/>
  </w:num>
  <w:num w:numId="8" w16cid:durableId="1959944721">
    <w:abstractNumId w:val="1"/>
  </w:num>
  <w:num w:numId="9" w16cid:durableId="12864977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15298"/>
    <w:rsid w:val="00744B3B"/>
    <w:rsid w:val="00852F30"/>
    <w:rsid w:val="0087278C"/>
    <w:rsid w:val="00AA1D8D"/>
    <w:rsid w:val="00B14950"/>
    <w:rsid w:val="00B47730"/>
    <w:rsid w:val="00CB0664"/>
    <w:rsid w:val="00EE023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459707"/>
  <w14:defaultImageDpi w14:val="300"/>
  <w15:docId w15:val="{B88E20BB-25EC-433C-9513-83142DEDD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pa">
    <w:name w:val="Apa"/>
    <w:basedOn w:val="Normal"/>
    <w:link w:val="ApaCar"/>
    <w:qFormat/>
    <w:rsid w:val="00B14950"/>
    <w:pPr>
      <w:spacing w:after="0" w:line="480" w:lineRule="auto"/>
      <w:ind w:firstLine="720"/>
      <w:jc w:val="center"/>
    </w:pPr>
  </w:style>
  <w:style w:type="character" w:customStyle="1" w:styleId="ApaCar">
    <w:name w:val="Apa Car"/>
    <w:basedOn w:val="Fuentedeprrafopredeter"/>
    <w:link w:val="Apa"/>
    <w:rsid w:val="00B14950"/>
    <w:rPr>
      <w:rFonts w:ascii="Calibri" w:hAnsi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630</Words>
  <Characters>3467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Sebastián Rodriguez Duarte</cp:lastModifiedBy>
  <cp:revision>4</cp:revision>
  <dcterms:created xsi:type="dcterms:W3CDTF">2026-08-24T04:53:00Z</dcterms:created>
  <dcterms:modified xsi:type="dcterms:W3CDTF">2026-08-24T05:10:00Z</dcterms:modified>
  <cp:category/>
</cp:coreProperties>
</file>