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120"/>
        <w:jc w:val="center"/>
      </w:pPr>
      <w:r>
        <w:rPr>
          <w:rFonts w:ascii="Arial" w:hAnsi="Arial"/>
          <w:b/>
          <w:i w:val="0"/>
          <w:color w:val="17365D"/>
          <w:sz w:val="28"/>
        </w:rPr>
        <w:t>LEX  CORPUS</w:t>
      </w:r>
    </w:p>
    <w:p>
      <w:pPr>
        <w:pStyle w:val="Title"/>
        <w:spacing w:after="100" w:line="252" w:lineRule="auto"/>
        <w:jc w:val="center"/>
      </w:pPr>
      <w:r>
        <w:rPr>
          <w:rFonts w:ascii="Arial" w:hAnsi="Arial"/>
          <w:b/>
          <w:i w:val="0"/>
          <w:color w:val="000000"/>
          <w:sz w:val="44"/>
        </w:rPr>
        <w:t>Casos de prueba</w:t>
      </w:r>
    </w:p>
    <w:p>
      <w:pPr>
        <w:pStyle w:val="Subtitle"/>
        <w:spacing w:after="100" w:line="252" w:lineRule="auto"/>
        <w:jc w:val="center"/>
      </w:pPr>
      <w:r>
        <w:rPr>
          <w:rFonts w:ascii="Arial" w:hAnsi="Arial"/>
          <w:b w:val="0"/>
          <w:i/>
          <w:color w:val="333333"/>
          <w:sz w:val="20"/>
        </w:rPr>
        <w:t>Catálogo trazable de pruebas automatizadas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Proyecto</w:t>
            </w:r>
          </w:p>
        </w:tc>
        <w:tc>
          <w:tcPr>
            <w:tcW w:type="dxa" w:w="62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LEX CORPUS</w:t>
            </w:r>
          </w:p>
        </w:tc>
        <w:trPr>
          <w:tblHeader/>
        </w:trPr>
      </w:tr>
      <w:tr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F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Equipo</w:t>
            </w:r>
          </w:p>
        </w:tc>
        <w:tc>
          <w:tcPr>
            <w:tcW w:type="dxa" w:w="62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F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Emerson Jiménez Loaiza · Natanael Labrea · Sebastián González</w:t>
            </w:r>
          </w:p>
        </w:tc>
      </w:tr>
      <w:tr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Docente</w:t>
            </w:r>
          </w:p>
        </w:tc>
        <w:tc>
          <w:tcPr>
            <w:tcW w:type="dxa" w:w="62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Luis Bravo</w:t>
            </w:r>
          </w:p>
        </w:tc>
      </w:tr>
      <w:tr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F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Versión</w:t>
            </w:r>
          </w:p>
        </w:tc>
        <w:tc>
          <w:tcPr>
            <w:tcW w:type="dxa" w:w="62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F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2.0 · 23 de octubre de 2026</w:t>
            </w:r>
          </w:p>
        </w:tc>
      </w:tr>
    </w:tbl>
    <w:p>
      <w:pPr>
        <w:spacing w:before="480" w:after="100" w:line="252" w:lineRule="auto"/>
        <w:jc w:val="center"/>
      </w:pPr>
      <w:r>
        <w:rPr>
          <w:rFonts w:ascii="Arial" w:hAnsi="Arial"/>
          <w:b w:val="0"/>
          <w:i/>
          <w:color w:val="666666"/>
          <w:sz w:val="16"/>
        </w:rPr>
        <w:t>Documento académico basado en 62 casos implementados y ejecutables</w:t>
      </w:r>
      <w:r>
        <w:br w:type="page"/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1 Convenciones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000000"/>
          <w:sz w:val="18"/>
        </w:rPr>
        <w:t>Cada caso identifica requisito, precondición, procedimiento y resultado esperado. CP BE corresponde a integración backend contra PostgreSQL real y CP FE a componentes Angular. RF P04, RF P06 y RF P07 se conservan como identificadores del alcance planificado original; los casos asociados prueban el incremento parcial que ya existe y no declaran terminada toda la capacidad futura.</w:t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2 Casos de integración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893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123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Req</w:t>
            </w:r>
          </w:p>
        </w:tc>
        <w:tc>
          <w:tcPr>
            <w:tcW w:type="dxa" w:w="201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Precondición</w:t>
            </w:r>
          </w:p>
        </w:tc>
        <w:tc>
          <w:tcPr>
            <w:tcW w:type="dxa" w:w="2088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Procedimiento</w:t>
            </w:r>
          </w:p>
        </w:tc>
        <w:tc>
          <w:tcPr>
            <w:tcW w:type="dxa" w:w="2995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Resultado esperado</w:t>
            </w:r>
          </w:p>
        </w:tc>
        <w:tc>
          <w:tcPr>
            <w:tcW w:type="dxa" w:w="893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Tipo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CP-BE-01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RF-01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Rechazar acceso anónimo y contraseñas incorrectas.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CP-BE-02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RF-02, RNF-01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Restaurar sesión sin exponer hash ni token.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CP-BE-03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RF-02, RNF-06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Renovar actividad y rechazar sesiones inactivas.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CP-BE-04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RF-01, RNF-01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Registrar intentos fallidos y restablecer el bloqueo al autenticar.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CP-BE-05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RF-06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y persistir una causa con referencia generada en servidor.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CP-BE-06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RF-11, RNF-03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Excluir notas internas de las respuestas entregadas al cliente.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CP-BE-07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RF-04, RNF-02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Bloquear creación, edición y archivo cuando el rol es cliente.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CP-BE-08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RF-04, RF-18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Aislar la cartera de cada abogado y la vista de cada cliente.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CP-BE-09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RF-P04, RNF-02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Importar solo filas válidas de Excel y conservar el aislamiento.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CP-BE-10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RF-P04, RNF-05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Rechazar carga Excel por rol, tipo o contenido inseguro.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CP-BE-11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RF-06, RF-18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Rechazar clientes ajenos, campos no autorizados y fechas imposibles.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CP-BE-12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RF-07, RNF-05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Editar sin cambiar la referencia ni ejecutar contenido SQL.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CP-BE-13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RF-08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Archivar una causa sin eliminar sus datos.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CP-BE-14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RF-13, RNF-03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Conservar participantes, historial y auditoría sin datos sensibles.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CP-BE-15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RNF-04, RNF-05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Impedir relaciones jurídicas inválidas incluso fuera de la API.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CP-BE-16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RF-P06, RF-P07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Persistir plazos, solicitudes y documentos con versiones verificables.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CP-BE-17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RF-09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Rechazar una edición obsoleta sin modificar datos ni versión.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CP-BE-18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RF-09, RNF-04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Aceptar exactamente uno de dos guardados simultáneos.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CP-BE-19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RF-09, RNF-05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Exigir una versión entera positiva para editar y archivar.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CP-BE-20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RF-08, RF-09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Impedir archivo obsoleto y edición con datos anteriores al archivo.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CP-BE-21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RF-07, RF-09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Permitir guardar después de consultar la versión vigente.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CP-BE-22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RNF-02, RNF-06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Rechazar mutaciones enviadas desde un origen web ajeno.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CP-BE-23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RF-14, RF-15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Reservar la supervisión al coordinador incluso por acceso directo.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CP-BE-24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RF-14, RNF-03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Mostrar carteras supervisadas sin notas privadas ni credenciales.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CP-BE-25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RF-12, RF-13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Registrar avance e historial atómicos, privados frente al cliente.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CP-BE-26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RF-09, RF-12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Evitar que un avance antiguo añada historial o sobrescriba cambios.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CP-BE-27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RF-12, RNF-05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Rechazar avances inválidos, de causas ajenas o archivadas.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CP-BE-28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RF-16, RF-17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Calcular alertas activas y conservar resúmenes globales al filtrar.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CP-BE-29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RF-17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Paginar sin omisiones e incluir abogados sin causas o inactivos.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CP-BE-30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RF-02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Invalidar sesiones al cerrar sesión y al expirar. Sin exposición ni mutación fuera del alcance autorizado.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CP-BE-31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RNF-01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PostgreSQL saludable, esquema temporal y usuarios ficticios según rol.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Preparar datos; invocar API; comprobar respuesta, autorización y persistencia.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Derivar contraseñas con sal única y rechazar claves incorrectas. Sin exposición ni mutación fuera del alcance autorizado.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3 Casos de componentes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893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123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Req</w:t>
            </w:r>
          </w:p>
        </w:tc>
        <w:tc>
          <w:tcPr>
            <w:tcW w:type="dxa" w:w="201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Precondición</w:t>
            </w:r>
          </w:p>
        </w:tc>
        <w:tc>
          <w:tcPr>
            <w:tcW w:type="dxa" w:w="2088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Procedimiento</w:t>
            </w:r>
          </w:p>
        </w:tc>
        <w:tc>
          <w:tcPr>
            <w:tcW w:type="dxa" w:w="2995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Resultado esperado</w:t>
            </w:r>
          </w:p>
        </w:tc>
        <w:tc>
          <w:tcPr>
            <w:tcW w:type="dxa" w:w="893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Tipo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CP-FE-01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RF-05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Combinar búsqueda y filtros sin alterar las cifras de cartera.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CP-FE-02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RF-05, RNF-07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Mostrar error de carga y permitir reintentar la consulta.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CP-FE-03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RF-09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Conservar cambios y bloquear reintentos automáticos ante conflicto.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CP-FE-04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RF-09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Reemplazar el borrador solo después de una confirmación.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CP-FE-05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RF-09, RNF-07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Conservar el borrador si falla la comparación de versiones.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CP-FE-06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RF-07, RNF-07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No perder cambios cuando falla el guardado.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CP-FE-07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RF-10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Cancelar salida con cambios y omitir aviso cuando no hay cambios.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CP-FE-08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RF-10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Solicitar protección del navegador al cerrar o recargar.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CP-FE-09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RF-14, RF-15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Abrir el detalle de una causa desde supervisión.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CP-FE-10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RF-14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Rechazar rutas de supervisión para abogados y clientes.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CP-FE-11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RF-14, RF-15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Dirigir al coordinador y bloquear acciones de edición.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CP-FE-12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RF-02, RF-14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Restaurar el rol coordinador desde la sesión.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CP-FE-13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RF-17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Combinar filtros de servidor sin cambiar el resumen general.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CP-FE-14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RF-17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Cancelar solicitudes anteriores para evitar filtros obsoletos.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CP-FE-15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RF-14, RNF-07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Recuperar el panel después de un error de conexión.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CP-FE-16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RF-14, RF-15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Representar estados vacíos sin acciones de edición.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CP-FE-17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RF-09, RF-12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Enviar la versión leída y salir sin aviso después de guardar avance.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CP-FE-18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RF-09, RF-12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Conservar el avance en conflicto y confirmar antes de recargar.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CP-FE-19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RF-10, RF-12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Conservar el avance si la API falla y cancelar navegación.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CP-FE-20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RF-12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Impedir texto vacío y nuevos avances en una causa archivada.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CP-FE-21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RF-P04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Cargar, mapear, previsualizar y confirmar solo filas válidas.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CP-FE-22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RF-P04, RNF-05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Rechazar extensiones inseguras y mapeos duplicados.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CP-FE-23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RF-02, RF-10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No revocar la sesión si se cancela el descarte pendiente.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CP-FE-24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RF-02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Solicitar confirmación antes de cerrar sesión desde la interfaz.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CP-FE-25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RF-02, RF-10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Descartar cambios solo tras un cierre de sesión correcto.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CP-FE-26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RF-02, RNF-07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Conservar el borrador cuando falla el cierre de sesión.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CP-FE-27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RF-02, RNF-06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Avisar tras tres minutos y cerrar diez segundos después.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CP-FE-28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RF-02, RNF-06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Renovar la sesión cuando la persona confirma actividad.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CP-FE-29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RF-02, RNF-06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Reiniciar el tiempo de inactividad tras una interacción.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CP-FE-30</w:t>
            </w:r>
          </w:p>
        </w:tc>
        <w:tc>
          <w:tcPr>
            <w:tcW w:type="dxa" w:w="112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RF-18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Agrupar exclusivamente las causas de cada cliente del abogado. La interfaz conserva un estado coherente y recuperable.</w:t>
            </w:r>
          </w:p>
        </w:tc>
        <w:tc>
          <w:tcPr>
            <w:tcW w:type="dxa" w:w="893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  <w:tr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CP-FE-31</w:t>
            </w:r>
          </w:p>
        </w:tc>
        <w:tc>
          <w:tcPr>
            <w:tcW w:type="dxa" w:w="112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RF-18, RF-05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Angular TestBed configurado, HTTP simulado y rol o formulario preparado.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componente; simular interacción y respuesta; verificar estado, solicitud o ruta.</w:t>
            </w:r>
          </w:p>
        </w:tc>
        <w:tc>
          <w:tcPr>
            <w:tcW w:type="dxa" w:w="2995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Buscar clientes por identidad, correo o datos de sus causas. La interfaz conserva un estado coherente y recuperable.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Automatizado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4 Cobertura funcional añadida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Capacidad</w:t>
            </w:r>
          </w:p>
        </w:tc>
        <w:tc>
          <w:tcPr>
            <w:tcW w:type="dxa" w:w="288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Casos principales</w:t>
            </w:r>
          </w:p>
        </w:tc>
        <w:tc>
          <w:tcPr>
            <w:tcW w:type="dxa" w:w="489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Evidencia esperada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Sesión e inactividad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CP-BE-03, CP-BE-30, CP-FE-23 a CP-FE-29</w:t>
            </w:r>
          </w:p>
        </w:tc>
        <w:tc>
          <w:tcPr>
            <w:tcW w:type="dxa" w:w="489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Renovación válida, advertencia a los 3 minutos, cuenta regresiva de 10 segundos y cierre confirmado.</w:t>
            </w:r>
          </w:p>
        </w:tc>
      </w:tr>
      <w:tr>
        <w:tc>
          <w:tcPr>
            <w:tcW w:type="dxa" w:w="216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Importación Excel</w:t>
            </w:r>
          </w:p>
        </w:tc>
        <w:tc>
          <w:tcPr>
            <w:tcW w:type="dxa" w:w="288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CP-BE-09, CP-BE-10, CP-FE-21, CP-FE-22</w:t>
            </w:r>
          </w:p>
        </w:tc>
        <w:tc>
          <w:tcPr>
            <w:tcW w:type="dxa" w:w="489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Mapeo, vista previa, errores por fila, confirmación parcial y rechazo de archivos inseguros.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Aislamiento por abogado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CP-BE-08, CP-BE-11, CP-FE-30</w:t>
            </w:r>
          </w:p>
        </w:tc>
        <w:tc>
          <w:tcPr>
            <w:tcW w:type="dxa" w:w="489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Clientes y causas pertenecen únicamente al abogado autenticado.</w:t>
            </w:r>
          </w:p>
        </w:tc>
      </w:tr>
      <w:tr>
        <w:tc>
          <w:tcPr>
            <w:tcW w:type="dxa" w:w="216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Portal cliente</w:t>
            </w:r>
          </w:p>
        </w:tc>
        <w:tc>
          <w:tcPr>
            <w:tcW w:type="dxa" w:w="288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CP-BE-06 a CP-BE-08, CP-FE-01, CP-FE-02</w:t>
            </w:r>
          </w:p>
        </w:tc>
        <w:tc>
          <w:tcPr>
            <w:tcW w:type="dxa" w:w="489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Consulta simple sin notas internas ni acciones reservadas al abogado.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Cartera de clientes</w:t>
            </w:r>
          </w:p>
        </w:tc>
        <w:tc>
          <w:tcPr>
            <w:tcW w:type="dxa" w:w="288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CP-FE-30, CP-FE-31</w:t>
            </w:r>
          </w:p>
        </w:tc>
        <w:tc>
          <w:tcPr>
            <w:tcW w:type="dxa" w:w="489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Agrupación por cliente, conteos, fechas, búsqueda y enlaces a causas.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5 Datos y limpieza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Los nombres, correos, contraseñas, causas y archivos usados son ficticios.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La suite backend crea un esquema exclusivo, aplica migraciones de forma repetible y elimina solo ese esquema.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Las pruebas frontend interceptan solicitudes y no modifican la base de datos real.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Los casos de importación construyen libros Excel en memoria y no dependen de archivos personales.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La regresión completa se repite si cambia una migración, un guard, un DTO, un encabezado Excel o una regla de autorización.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LEX CORPUS  |  Casos de prueba  | 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97"/>
      <w:gridCol w:w="4997"/>
    </w:tblGrid>
    <w:tr>
      <w:tc>
        <w:tcPr>
          <w:tcW w:type="dxa" w:w="7703"/>
          <w:tcMar>
            <w:top w:w="30" w:type="dxa"/>
            <w:start w:w="0" w:type="dxa"/>
            <w:bottom w:w="30" w:type="dxa"/>
            <w:end w:w="4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7365D"/>
              <w:sz w:val="14"/>
            </w:rPr>
            <w:t>ESCUELA DE INFORMÁTICA Y TELECOMUNICACIONES</w:t>
            <w:br/>
            <w:t>CAPSTONE APT122  ·  FASE 2</w:t>
            <w:br/>
            <w:t>LEX CORPUS  ·  DOCUMENTACIÓN TÉCNICA</w:t>
          </w:r>
        </w:p>
      </w:tc>
      <w:tc>
        <w:tcPr>
          <w:tcW w:type="dxa" w:w="2289"/>
          <w:tcMar>
            <w:top w:w="0" w:type="dxa"/>
            <w:start w:w="3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61872" cy="28248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uoc_u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1872" cy="282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Casos Prueba LEX CORPUS</dc:title>
  <dc:subject>Documentación técnica LEX CORPUS</dc:subject>
  <dc:creator>Emerson Jiménez Loaiza · Natanael Labrea · Sebastián González</dc:creator>
  <cp:keywords>LEX CORPUS, APT122, Angular, NestJS,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