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blHeader/>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descr="Image: image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Pr>
          <w:tblHeader/>
        </w:trPr>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blHeader/>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Mar>
              <w:top w:w="70" w:type="dxa"/>
              <w:start w:w="110" w:type="dxa"/>
              <w:bottom w:w="70" w:type="dxa"/>
              <w:end w:w="110" w:type="dxa"/>
            </w:tcMa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spacing w:before="60" w:after="0" w:line="240" w:lineRule="auto"/>
              <w:jc w:val="both"/>
              <w:rPr>
                <w:rFonts w:eastAsiaTheme="majorEastAsia"/>
                <w:color w:val="767171" w:themeColor="background2" w:themeShade="80"/>
                <w:sz w:val="24"/>
                <w:szCs w:val="24"/>
              </w:rPr>
            </w:pPr>
            <w:r>
              <w:rPr>
                <w:rFonts w:ascii="Arial" w:hAnsi="Arial"/>
                <w:b/>
                <w:color w:val="1F375B"/>
                <w:sz w:val="19"/>
              </w:rPr>
              <w:t xml:space="preserve">Respuesta: </w:t>
            </w:r>
            <w:r>
              <w:rPr>
                <w:rFonts w:ascii="Arial" w:hAnsi="Arial"/>
                <w:color w:val="000000"/>
                <w:sz w:val="19"/>
              </w:rPr>
              <w:t>No se cumplieron todas las actividades en los tiempos definidos, porque el alcance inicial era amplio. Reordenamos el plan para entregar primero una versión funcional. Facilitaron el avance los mockups, las historias de usuario y la división por módulos. Dificultaron el proceso la coordinación entre frontend, backend, base de datos y documentación.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blHeader/>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Mar>
              <w:top w:w="70" w:type="dxa"/>
              <w:start w:w="110" w:type="dxa"/>
              <w:bottom w:w="70" w:type="dxa"/>
              <w:end w:w="110" w:type="dxa"/>
            </w:tcMa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spacing w:before="60" w:after="0" w:line="240" w:lineRule="auto"/>
              <w:jc w:val="both"/>
              <w:rPr>
                <w:rFonts w:ascii="Calibri" w:hAnsi="Calibri"/>
                <w:b/>
                <w:bCs/>
                <w:color w:val="1F4E79" w:themeColor="accent1" w:themeShade="80"/>
              </w:rPr>
            </w:pPr>
            <w:r>
              <w:rPr>
                <w:rFonts w:ascii="Arial" w:hAnsi="Arial"/>
                <w:b/>
                <w:color w:val="1F375B"/>
                <w:sz w:val="19"/>
              </w:rPr>
              <w:t xml:space="preserve">Respuesta: </w:t>
            </w:r>
            <w:r>
              <w:rPr>
                <w:rFonts w:ascii="Arial" w:hAnsi="Arial"/>
                <w:color w:val="000000"/>
                <w:sz w:val="19"/>
              </w:rPr>
              <w:t>Enfrenté las dificultades dividiendo el trabajo en entregas pequeñas y verificables, priorizando seguridad, gestión de causas e integración. Cuando apareció un problema, como la carga de Excel o la conexión con PostgreSQL, revisé la evidencia, repetí las pruebas y documenté la solución. Mantendré revisiones frecuentes y actualizaré el backlog con resultados reales.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blHeader/>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Mar>
              <w:top w:w="70" w:type="dxa"/>
              <w:start w:w="110" w:type="dxa"/>
              <w:bottom w:w="70" w:type="dxa"/>
              <w:end w:w="110" w:type="dxa"/>
            </w:tcMa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spacing w:before="60" w:after="0" w:line="240" w:lineRule="auto"/>
              <w:jc w:val="both"/>
              <w:rPr>
                <w:rFonts w:ascii="Calibri" w:hAnsi="Calibri"/>
                <w:b/>
                <w:bCs/>
                <w:color w:val="1F4E79" w:themeColor="accent1" w:themeShade="80"/>
              </w:rPr>
            </w:pPr>
            <w:r>
              <w:rPr>
                <w:rFonts w:ascii="Arial" w:hAnsi="Arial"/>
                <w:b/>
                <w:color w:val="1F375B"/>
                <w:sz w:val="19"/>
              </w:rPr>
              <w:t xml:space="preserve">Respuesta: </w:t>
            </w:r>
            <w:r>
              <w:rPr>
                <w:rFonts w:ascii="Arial" w:hAnsi="Arial"/>
                <w:color w:val="000000"/>
                <w:sz w:val="19"/>
              </w:rPr>
              <w:t>Evalúo mi trabajo positivamente porque participé en la organización del repositorio, la revisión funcional y la actualización de evidencias. Destaco mi constancia para detectar inconsistencias y ordenar entregables. Debo mejorar la planificación anticipada, registrar antes cada decisión y profundizar en pruebas de seguridad, accesibilidad y despliegue.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blHeader/>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Mar>
              <w:top w:w="70" w:type="dxa"/>
              <w:start w:w="110" w:type="dxa"/>
              <w:bottom w:w="70" w:type="dxa"/>
              <w:end w:w="110" w:type="dxa"/>
            </w:tcMa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spacing w:before="60" w:after="0" w:line="240" w:lineRule="auto"/>
              <w:jc w:val="both"/>
              <w:rPr>
                <w:rFonts w:ascii="Calibri" w:hAnsi="Calibri"/>
                <w:b/>
                <w:bCs/>
                <w:color w:val="1F4E79" w:themeColor="accent1" w:themeShade="80"/>
              </w:rPr>
            </w:pPr>
            <w:r>
              <w:rPr>
                <w:rFonts w:ascii="Arial" w:hAnsi="Arial"/>
                <w:b/>
                <w:color w:val="1F375B"/>
                <w:sz w:val="19"/>
              </w:rPr>
              <w:t xml:space="preserve">Respuesta: </w:t>
            </w:r>
            <w:r>
              <w:rPr>
                <w:rFonts w:ascii="Arial" w:hAnsi="Arial"/>
                <w:color w:val="000000"/>
                <w:sz w:val="19"/>
              </w:rPr>
              <w:t>Mi principal inquietud es cómo priorizar lo pendiente sin ampliar demasiado el alcance antes de la entrega final. Me gustaría consultar al docente qué profundidad espera en la documentación técnica y si el código, las migraciones, las capturas y las 62 pruebas aprobadas demuestran el avance de manera suficiente y clara.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blHeader/>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Mar>
              <w:top w:w="70" w:type="dxa"/>
              <w:start w:w="110" w:type="dxa"/>
              <w:bottom w:w="70" w:type="dxa"/>
              <w:end w:w="110" w:type="dxa"/>
            </w:tcMa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spacing w:before="60" w:after="0" w:line="240" w:lineRule="auto"/>
              <w:jc w:val="both"/>
              <w:rPr>
                <w:rFonts w:eastAsiaTheme="majorEastAsia"/>
                <w:color w:val="767171" w:themeColor="background2" w:themeShade="80"/>
                <w:sz w:val="24"/>
                <w:szCs w:val="24"/>
              </w:rPr>
            </w:pPr>
            <w:r>
              <w:rPr>
                <w:rFonts w:ascii="Arial" w:hAnsi="Arial"/>
                <w:b/>
                <w:color w:val="1F375B"/>
                <w:sz w:val="19"/>
              </w:rPr>
              <w:t xml:space="preserve">Respuesta: </w:t>
            </w:r>
            <w:r>
              <w:rPr>
                <w:rFonts w:ascii="Arial" w:hAnsi="Arial"/>
                <w:color w:val="000000"/>
                <w:sz w:val="19"/>
              </w:rPr>
              <w:t>Consideramos necesario mantener una distribución más explícita: una persona responsable del frontend y la experiencia de usuario, otra del backend y la base de datos, y otra de integración, pruebas y evidencias, con revisiones cruzadas. Las nuevas actividades son preparar la presentación, completar las planillas oficiales, ordenar GitHub y verificar la demostración final.</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blHeader/>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Mar>
              <w:top w:w="70" w:type="dxa"/>
              <w:start w:w="110" w:type="dxa"/>
              <w:bottom w:w="70" w:type="dxa"/>
              <w:end w:w="110" w:type="dxa"/>
            </w:tcMa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spacing w:before="60" w:after="0" w:line="240" w:lineRule="auto"/>
              <w:jc w:val="both"/>
              <w:rPr>
                <w:rFonts w:eastAsiaTheme="majorEastAsia"/>
                <w:color w:val="767171" w:themeColor="background2" w:themeShade="80"/>
                <w:sz w:val="24"/>
                <w:szCs w:val="24"/>
              </w:rPr>
            </w:pPr>
            <w:r>
              <w:rPr>
                <w:rFonts w:ascii="Arial" w:hAnsi="Arial"/>
                <w:b/>
                <w:color w:val="1F375B"/>
                <w:sz w:val="19"/>
              </w:rPr>
              <w:t xml:space="preserve">Respuesta: </w:t>
            </w:r>
            <w:r>
              <w:rPr>
                <w:rFonts w:ascii="Arial" w:hAnsi="Arial"/>
                <w:color w:val="000000"/>
                <w:sz w:val="19"/>
              </w:rPr>
              <w:t>Evaluamos el trabajo grupal como positivo: logramos transformar el diseño inicial en una aplicación funcional y documentada. Destacamos la colaboración, la capacidad de ajustar el alcance y la revisión conjunta. Debemos mejorar la frecuencia de los commits individuales, registrar reuniones oportunamente y distribuir responsabilidades con fechas y criterios de cierre visibles.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descr="Ima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blHeader/>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blHeader/>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descr="Image: item2.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dc:title>
  <dc:creator>Sebastián González</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