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120"/>
        <w:jc w:val="center"/>
      </w:pPr>
      <w:r>
        <w:rPr>
          <w:rFonts w:ascii="Arial" w:hAnsi="Arial"/>
          <w:b/>
          <w:i w:val="0"/>
          <w:color w:val="17365D"/>
          <w:sz w:val="28"/>
        </w:rPr>
        <w:t>LEX  CORPUS</w:t>
      </w:r>
    </w:p>
    <w:p>
      <w:pPr>
        <w:pStyle w:val="Title"/>
        <w:spacing w:after="100" w:line="252" w:lineRule="auto"/>
        <w:jc w:val="center"/>
      </w:pPr>
      <w:r>
        <w:rPr>
          <w:rFonts w:ascii="Arial" w:hAnsi="Arial"/>
          <w:b/>
          <w:i w:val="0"/>
          <w:color w:val="000000"/>
          <w:sz w:val="44"/>
        </w:rPr>
        <w:t>Resultado de pruebas</w:t>
      </w:r>
    </w:p>
    <w:p>
      <w:pPr>
        <w:pStyle w:val="Subtitle"/>
        <w:spacing w:after="100" w:line="252" w:lineRule="auto"/>
        <w:jc w:val="center"/>
      </w:pPr>
      <w:r>
        <w:rPr>
          <w:rFonts w:ascii="Arial" w:hAnsi="Arial"/>
          <w:b w:val="0"/>
          <w:i/>
          <w:color w:val="333333"/>
          <w:sz w:val="20"/>
        </w:rPr>
        <w:t>Ejecución automatizada del 23 de octubre de 2026</w:t>
      </w:r>
    </w:p>
    <w:tbl>
      <w:tblPr>
        <w:tblW w:type="auto" w:w="0"/>
        <w:tblLayout w:type="fixed"/>
        <w:tblLook w:firstColumn="1" w:firstRow="1" w:lastColumn="0" w:lastRow="0" w:noHBand="0" w:noVBand="1" w:val="04A0"/>
      </w:tblPr>
      <w:tblGrid>
        <w:gridCol w:w="4997"/>
        <w:gridCol w:w="4997"/>
      </w:tblGrid>
      <w:tr>
        <w:tc>
          <w:tcPr>
            <w:tcW w:type="dxa" w:w="3168"/>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pPr>
            <w:r>
              <w:rPr>
                <w:rFonts w:ascii="Arial" w:hAnsi="Arial"/>
                <w:b/>
                <w:i w:val="0"/>
                <w:color w:val="000000"/>
                <w:sz w:val="16"/>
              </w:rPr>
              <w:t>Proyecto</w:t>
            </w:r>
          </w:p>
        </w:tc>
        <w:tc>
          <w:tcPr>
            <w:tcW w:type="dxa" w:w="6264"/>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pPr>
            <w:r>
              <w:rPr>
                <w:rFonts w:ascii="Arial" w:hAnsi="Arial"/>
                <w:b w:val="0"/>
                <w:i w:val="0"/>
                <w:color w:val="000000"/>
                <w:sz w:val="16"/>
              </w:rPr>
              <w:t>LEX CORPUS</w:t>
            </w:r>
          </w:p>
        </w:tc>
        <w:trPr>
          <w:tblHeader/>
        </w:trPr>
      </w:tr>
      <w:tr>
        <w:tc>
          <w:tcPr>
            <w:tcW w:type="dxa" w:w="3168"/>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7EFF7"/>
          </w:tcPr>
          <w:p>
            <w:pPr>
              <w:spacing w:after="0" w:line="252" w:lineRule="auto"/>
            </w:pPr>
            <w:r>
              <w:rPr>
                <w:rFonts w:ascii="Arial" w:hAnsi="Arial"/>
                <w:b/>
                <w:i w:val="0"/>
                <w:color w:val="000000"/>
                <w:sz w:val="16"/>
              </w:rPr>
              <w:t>Equipo</w:t>
            </w:r>
          </w:p>
        </w:tc>
        <w:tc>
          <w:tcPr>
            <w:tcW w:type="dxa" w:w="6264"/>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7EFF7"/>
          </w:tcPr>
          <w:p>
            <w:pPr>
              <w:spacing w:after="0" w:line="252" w:lineRule="auto"/>
            </w:pPr>
            <w:r>
              <w:rPr>
                <w:rFonts w:ascii="Arial" w:hAnsi="Arial"/>
                <w:b w:val="0"/>
                <w:i w:val="0"/>
                <w:color w:val="000000"/>
                <w:sz w:val="16"/>
              </w:rPr>
              <w:t>Emerson Jiménez Loaiza · Natanael Labrea · Sebastián González</w:t>
            </w:r>
          </w:p>
        </w:tc>
      </w:tr>
      <w:tr>
        <w:tc>
          <w:tcPr>
            <w:tcW w:type="dxa" w:w="3168"/>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pPr>
            <w:r>
              <w:rPr>
                <w:rFonts w:ascii="Arial" w:hAnsi="Arial"/>
                <w:b/>
                <w:i w:val="0"/>
                <w:color w:val="000000"/>
                <w:sz w:val="16"/>
              </w:rPr>
              <w:t>Docente</w:t>
            </w:r>
          </w:p>
        </w:tc>
        <w:tc>
          <w:tcPr>
            <w:tcW w:type="dxa" w:w="6264"/>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2" w:lineRule="auto"/>
            </w:pPr>
            <w:r>
              <w:rPr>
                <w:rFonts w:ascii="Arial" w:hAnsi="Arial"/>
                <w:b w:val="0"/>
                <w:i w:val="0"/>
                <w:color w:val="000000"/>
                <w:sz w:val="16"/>
              </w:rPr>
              <w:t>Luis Bravo</w:t>
            </w:r>
          </w:p>
        </w:tc>
      </w:tr>
      <w:tr>
        <w:tc>
          <w:tcPr>
            <w:tcW w:type="dxa" w:w="3168"/>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7EFF7"/>
          </w:tcPr>
          <w:p>
            <w:pPr>
              <w:spacing w:after="0" w:line="252" w:lineRule="auto"/>
            </w:pPr>
            <w:r>
              <w:rPr>
                <w:rFonts w:ascii="Arial" w:hAnsi="Arial"/>
                <w:b/>
                <w:i w:val="0"/>
                <w:color w:val="000000"/>
                <w:sz w:val="16"/>
              </w:rPr>
              <w:t>Versión</w:t>
            </w:r>
          </w:p>
        </w:tc>
        <w:tc>
          <w:tcPr>
            <w:tcW w:type="dxa" w:w="6264"/>
            <w:vAlign w:val="center"/>
            <w:tcMar>
              <w:top w:w="95" w:type="dxa"/>
              <w:start w:w="90" w:type="dxa"/>
              <w:bottom w:w="95"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7EFF7"/>
          </w:tcPr>
          <w:p>
            <w:pPr>
              <w:spacing w:after="0" w:line="252" w:lineRule="auto"/>
            </w:pPr>
            <w:r>
              <w:rPr>
                <w:rFonts w:ascii="Arial" w:hAnsi="Arial"/>
                <w:b w:val="0"/>
                <w:i w:val="0"/>
                <w:color w:val="000000"/>
                <w:sz w:val="16"/>
              </w:rPr>
              <w:t>2.0 · 23 de octubre de 2026</w:t>
            </w:r>
          </w:p>
        </w:tc>
      </w:tr>
    </w:tbl>
    <w:p>
      <w:pPr>
        <w:spacing w:before="480" w:after="100" w:line="252" w:lineRule="auto"/>
        <w:jc w:val="center"/>
      </w:pPr>
      <w:r>
        <w:rPr>
          <w:rFonts w:ascii="Arial" w:hAnsi="Arial"/>
          <w:b w:val="0"/>
          <w:i/>
          <w:color w:val="666666"/>
          <w:sz w:val="16"/>
        </w:rPr>
        <w:t>Documento académico con resultados reproducibles del incremento actualizado</w:t>
      </w:r>
      <w:r>
        <w:br w:type="page"/>
      </w:r>
    </w:p>
    <w:p>
      <w:pPr>
        <w:pStyle w:val="Heading1"/>
        <w:keepNext/>
        <w:spacing w:before="200" w:after="100" w:line="252" w:lineRule="auto"/>
      </w:pPr>
      <w:r>
        <w:rPr>
          <w:rFonts w:ascii="Arial" w:hAnsi="Arial"/>
          <w:b/>
          <w:i w:val="0"/>
          <w:color w:val="000000"/>
          <w:sz w:val="28"/>
        </w:rPr>
        <w:t>1 Resultado ejecutivo</w:t>
      </w:r>
    </w:p>
    <w:p>
      <w:pPr>
        <w:spacing w:after="120" w:line="259" w:lineRule="auto"/>
      </w:pPr>
      <w:r>
        <w:rPr>
          <w:rFonts w:ascii="Arial" w:hAnsi="Arial"/>
          <w:b w:val="0"/>
          <w:i w:val="0"/>
          <w:color w:val="000000"/>
          <w:sz w:val="18"/>
        </w:rPr>
        <w:t>La regresión automatizada finalizó con 62 de 62 pruebas aprobadas: 31 casos backend y 31 frontend. No hubo fallos, cancelaciones ni casos omitidos en la ejecución válida. El resultado confirma el incremento implementado en entorno local; no constituye certificación de producción ni valida el backlog todavía pendiente.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3096"/>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Suite</w:t>
            </w:r>
          </w:p>
        </w:tc>
        <w:tc>
          <w:tcPr>
            <w:tcW w:type="dxa" w:w="1224"/>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Ejecutadas</w:t>
            </w:r>
          </w:p>
        </w:tc>
        <w:tc>
          <w:tcPr>
            <w:tcW w:type="dxa" w:w="1224"/>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Aprobadas</w:t>
            </w:r>
          </w:p>
        </w:tc>
        <w:tc>
          <w:tcPr>
            <w:tcW w:type="dxa" w:w="1080"/>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Fallidas</w:t>
            </w:r>
          </w:p>
        </w:tc>
        <w:tc>
          <w:tcPr>
            <w:tcW w:type="dxa" w:w="115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Duración</w:t>
            </w:r>
          </w:p>
        </w:tc>
        <w:tc>
          <w:tcPr>
            <w:tcW w:type="dxa" w:w="1800"/>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Estado</w:t>
            </w:r>
          </w:p>
        </w:tc>
      </w:tr>
      <w:tr>
        <w:tc>
          <w:tcPr>
            <w:tcW w:type="dxa" w:w="30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Backend NestJS y PostgreSQL</w:t>
            </w:r>
          </w:p>
        </w:tc>
        <w:tc>
          <w:tcPr>
            <w:tcW w:type="dxa" w:w="12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31</w:t>
            </w:r>
          </w:p>
        </w:tc>
        <w:tc>
          <w:tcPr>
            <w:tcW w:type="dxa" w:w="12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31</w:t>
            </w:r>
          </w:p>
        </w:tc>
        <w:tc>
          <w:tcPr>
            <w:tcW w:type="dxa" w:w="108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0</w:t>
            </w:r>
          </w:p>
        </w:tc>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2,78 s</w:t>
            </w:r>
          </w:p>
        </w:tc>
        <w:tc>
          <w:tcPr>
            <w:tcW w:type="dxa" w:w="180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Aprobada</w:t>
            </w:r>
          </w:p>
        </w:tc>
      </w:tr>
      <w:tr>
        <w:tc>
          <w:tcPr>
            <w:tcW w:type="dxa" w:w="30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Frontend Angular</w:t>
            </w:r>
          </w:p>
        </w:tc>
        <w:tc>
          <w:tcPr>
            <w:tcW w:type="dxa" w:w="1224"/>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31</w:t>
            </w:r>
          </w:p>
        </w:tc>
        <w:tc>
          <w:tcPr>
            <w:tcW w:type="dxa" w:w="1224"/>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31</w:t>
            </w:r>
          </w:p>
        </w:tc>
        <w:tc>
          <w:tcPr>
            <w:tcW w:type="dxa" w:w="1080"/>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0</w:t>
            </w:r>
          </w:p>
        </w:tc>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3,31 s</w:t>
            </w:r>
          </w:p>
        </w:tc>
        <w:tc>
          <w:tcPr>
            <w:tcW w:type="dxa" w:w="1800"/>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Aprobada</w:t>
            </w:r>
          </w:p>
        </w:tc>
      </w:tr>
      <w:tr>
        <w:tc>
          <w:tcPr>
            <w:tcW w:type="dxa" w:w="30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Total</w:t>
            </w:r>
          </w:p>
        </w:tc>
        <w:tc>
          <w:tcPr>
            <w:tcW w:type="dxa" w:w="12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62</w:t>
            </w:r>
          </w:p>
        </w:tc>
        <w:tc>
          <w:tcPr>
            <w:tcW w:type="dxa" w:w="12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62</w:t>
            </w:r>
          </w:p>
        </w:tc>
        <w:tc>
          <w:tcPr>
            <w:tcW w:type="dxa" w:w="108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0</w:t>
            </w:r>
          </w:p>
        </w:tc>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w:t>
            </w:r>
          </w:p>
        </w:tc>
        <w:tc>
          <w:tcPr>
            <w:tcW w:type="dxa" w:w="180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5"/>
              </w:rPr>
              <w:t>Aprobado</w:t>
            </w:r>
          </w:p>
        </w:tc>
      </w:tr>
    </w:tbl>
    <w:p>
      <w:pPr>
        <w:spacing w:after="20"/>
      </w:pPr>
    </w:p>
    <w:p>
      <w:pPr>
        <w:pStyle w:val="Heading1"/>
        <w:keepNext/>
        <w:spacing w:before="200" w:after="100" w:line="252" w:lineRule="auto"/>
      </w:pPr>
      <w:r>
        <w:rPr>
          <w:rFonts w:ascii="Arial" w:hAnsi="Arial"/>
          <w:b/>
          <w:i w:val="0"/>
          <w:color w:val="000000"/>
          <w:sz w:val="28"/>
        </w:rPr>
        <w:t>2 Entorno y comandos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Componente</w:t>
            </w:r>
          </w:p>
        </w:tc>
        <w:tc>
          <w:tcPr>
            <w:tcW w:type="dxa" w:w="3024"/>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Comando</w:t>
            </w:r>
          </w:p>
        </w:tc>
        <w:tc>
          <w:tcPr>
            <w:tcW w:type="dxa" w:w="5040"/>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4"/>
              </w:rPr>
              <w:t>Condición observada</w:t>
            </w:r>
          </w:p>
        </w:tc>
      </w:tr>
      <w:tr>
        <w:tc>
          <w:tcPr>
            <w:tcW w:type="dxa" w:w="187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PostgreSQL</w:t>
            </w:r>
          </w:p>
        </w:tc>
        <w:tc>
          <w:tcPr>
            <w:tcW w:type="dxa" w:w="30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docker compose up -d --wait</w:t>
            </w:r>
          </w:p>
        </w:tc>
        <w:tc>
          <w:tcPr>
            <w:tcW w:type="dxa" w:w="504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Contenedor local saludable y accesible en puerto 55432.</w:t>
            </w:r>
          </w:p>
        </w:tc>
      </w:tr>
      <w:tr>
        <w:tc>
          <w:tcPr>
            <w:tcW w:type="dxa" w:w="187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Backend</w:t>
            </w:r>
          </w:p>
        </w:tc>
        <w:tc>
          <w:tcPr>
            <w:tcW w:type="dxa" w:w="3024"/>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pnpm test</w:t>
            </w:r>
          </w:p>
        </w:tc>
        <w:tc>
          <w:tcPr>
            <w:tcW w:type="dxa" w:w="5040"/>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Build NestJS seguido de 31 pruebas HTTP con esquema temporal.</w:t>
            </w:r>
          </w:p>
        </w:tc>
      </w:tr>
      <w:tr>
        <w:tc>
          <w:tcPr>
            <w:tcW w:type="dxa" w:w="187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Frontend</w:t>
            </w:r>
          </w:p>
        </w:tc>
        <w:tc>
          <w:tcPr>
            <w:tcW w:type="dxa" w:w="3024"/>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pnpm test</w:t>
            </w:r>
          </w:p>
        </w:tc>
        <w:tc>
          <w:tcPr>
            <w:tcW w:type="dxa" w:w="5040"/>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Compilación Angular de pruebas seguida de 31 pruebas Vitest.</w:t>
            </w:r>
          </w:p>
        </w:tc>
      </w:tr>
      <w:tr>
        <w:tc>
          <w:tcPr>
            <w:tcW w:type="dxa" w:w="187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Build de entrega</w:t>
            </w:r>
          </w:p>
        </w:tc>
        <w:tc>
          <w:tcPr>
            <w:tcW w:type="dxa" w:w="3024"/>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pnpm build</w:t>
            </w:r>
          </w:p>
        </w:tc>
        <w:tc>
          <w:tcPr>
            <w:tcW w:type="dxa" w:w="5040"/>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5"/>
              </w:rPr>
              <w:t>Compilación de producción requerida para ambos proyectos.</w:t>
            </w:r>
          </w:p>
        </w:tc>
      </w:tr>
    </w:tbl>
    <w:p>
      <w:pPr>
        <w:spacing w:after="20"/>
      </w:pPr>
    </w:p>
    <w:p>
      <w:pPr>
        <w:pStyle w:val="Heading1"/>
        <w:keepNext/>
        <w:spacing w:before="200" w:after="100" w:line="252" w:lineRule="auto"/>
      </w:pPr>
      <w:r>
        <w:rPr>
          <w:rFonts w:ascii="Arial" w:hAnsi="Arial"/>
          <w:b/>
          <w:i w:val="0"/>
          <w:color w:val="000000"/>
          <w:sz w:val="28"/>
        </w:rPr>
        <w:t>3 Resultados por caso</w:t>
      </w:r>
    </w:p>
    <w:p>
      <w:pPr>
        <w:pStyle w:val="Heading2"/>
        <w:keepNext/>
        <w:spacing w:before="140" w:after="100" w:line="252" w:lineRule="auto"/>
      </w:pPr>
      <w:r>
        <w:rPr>
          <w:rFonts w:ascii="Arial" w:hAnsi="Arial"/>
          <w:b/>
          <w:i w:val="0"/>
          <w:color w:val="000000"/>
          <w:sz w:val="22"/>
        </w:rPr>
        <w:t>3.1 Backend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ID</w:t>
            </w:r>
          </w:p>
        </w:tc>
        <w:tc>
          <w:tcPr>
            <w:tcW w:type="dxa" w:w="151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Req</w:t>
            </w:r>
          </w:p>
        </w:tc>
        <w:tc>
          <w:tcPr>
            <w:tcW w:type="dxa" w:w="5976"/>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Verificación</w:t>
            </w:r>
          </w:p>
        </w:tc>
        <w:tc>
          <w:tcPr>
            <w:tcW w:type="dxa" w:w="1296"/>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Resultado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RF-01</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acceso anónimo y contraseñas incorrectas.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RNF-01</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Restaurar sesión sin exponer hash ni token.</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RNF-06</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Renovar actividad y rechazar sesiones inactivas.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RF-01, RNF-01</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Registrar intentos fallidos y restablecer el bloqueo al autenticar.</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RF-06</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Crear y persistir una causa con referencia generada en servidor.</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RF-11, RNF-03</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Excluir notas internas de las respuestas entregadas al cliente.</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RF-04, RNF-02</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Bloquear creación, edición y archivo cuando el rol es cliente.</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RF-04, RF-18</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Aislar la cartera de cada abogado y la vista de cada cliente.</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CP-BE-09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RF-P04, RNF-02</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Importar solo filas válidas de Excel y conservar el aislamiento.</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RF-P04, RNF-05</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carga Excel por rol, tipo o contenido inseguro.</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RF-06, RF-18</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clientes ajenos, campos no autorizados y fechas imposibles.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RF-07, RNF-05</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Editar sin cambiar la referencia ni ejecutar contenido SQL.</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RF-08</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Archivar una causa sin eliminar sus datos.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RF-13, RNF-03</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participantes, historial y auditoría sin datos sensibles.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RNF-04, RNF-05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Impedir relaciones jurídicas inválidas incluso fuera de la API.</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RF-P06, RF-P07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Persistir plazos, solicitudes y documentos con versiones verificables.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una edición obsoleta sin modificar datos ni versión.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RNF-04</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Aceptar exactamente uno de dos guardados simultáneos.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CP-BE-19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RNF-05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Exigir una versión entera positiva para editar y archivar.</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RF-08, RF-09</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Impedir archivo obsoleto y edición con datos anteriores al archivo.</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RF-07, RF-09</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Permitir guardar después de consultar la versión vigente.</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RNF-02, RNF-06</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mutaciones enviadas desde un origen web ajeno.</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RF-15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Reservar la supervisión al coordinador incluso por acceso directo.</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RNF-03</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Mostrar carteras supervisadas sin notas privadas ni credenciales.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RF-12, RF-13</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Registrar avance e historial atómicos, privados frente al cliente.</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RF-12</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Evitar que un avance antiguo añada historial o sobrescriba cambios.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RF-12, RNF-05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avances inválidos, de causas ajenas o archivadas.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RF-16, RF-17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Calcular alertas activas y conservar resúmenes globales al filtrar.</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CP-BE-29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RF-17</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Paginar sin omisiones e incluir abogados sin causas o inactivos.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CP-BE-30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Invalidar sesiones al cerrar sesión y al expirar.</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CP-BE-31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RNF-01</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Derivar contraseñas con sal única y rechazar claves incorrectas.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bl>
    <w:p>
      <w:pPr>
        <w:spacing w:after="20"/>
      </w:pPr>
    </w:p>
    <w:p>
      <w:pPr>
        <w:pStyle w:val="Heading2"/>
        <w:keepNext/>
        <w:spacing w:before="140" w:after="100" w:line="252" w:lineRule="auto"/>
      </w:pPr>
      <w:r>
        <w:rPr>
          <w:rFonts w:ascii="Arial" w:hAnsi="Arial"/>
          <w:b/>
          <w:i w:val="0"/>
          <w:color w:val="000000"/>
          <w:sz w:val="22"/>
        </w:rPr>
        <w:t>3.2 Frontend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ID</w:t>
            </w:r>
          </w:p>
        </w:tc>
        <w:tc>
          <w:tcPr>
            <w:tcW w:type="dxa" w:w="1512"/>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Req</w:t>
            </w:r>
          </w:p>
        </w:tc>
        <w:tc>
          <w:tcPr>
            <w:tcW w:type="dxa" w:w="5976"/>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Verificación</w:t>
            </w:r>
          </w:p>
        </w:tc>
        <w:tc>
          <w:tcPr>
            <w:tcW w:type="dxa" w:w="1296"/>
            <w:vAlign w:val="center"/>
            <w:shd w:fill="731B2B"/>
            <w:tcMar>
              <w:top w:w="85" w:type="dxa"/>
              <w:start w:w="85" w:type="dxa"/>
              <w:bottom w:w="85"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b/>
                <w:i w:val="0"/>
                <w:color w:val="FFFFFF"/>
                <w:sz w:val="13"/>
              </w:rPr>
              <w:t>Resultado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Combinar búsqueda y filtros sin alterar las cifras de cartera.</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RF-05, RNF-07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Mostrar error de carga y permitir reintentar la consulta.</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cambios y bloquear reintentos automáticos ante conflicto.</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Reemplazar el borrador solo después de una confirmación.</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RNF-07</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el borrador si falla la comparación de versiones.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RF-07, RNF-07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No perder cambios cuando falla el guardado.</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RF-10</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Cancelar salida con cambios y omitir aviso cuando no hay cambios.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RF-10</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Solicitar protección del navegador al cerrar o recargar.</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CP-FE-09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RF-15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Abrir el detalle de una causa desde supervisión.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rutas de supervisión para abogados y clientes.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RF-15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Dirigir al coordinador y bloquear acciones de edición.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RF-14</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Restaurar el rol coordinador desde la sesión.</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RF-17</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Combinar filtros de servidor sin cambiar el resumen general.</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Cancelar solicitudes anteriores para evitar filtros obsoletos.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RNF-07</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Recuperar el panel después de un error de conexión.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RF-14, RF-15</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Representar estados vacíos sin acciones de edición.</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RF-12</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Enviar la versión leída y salir sin aviso después de guardar avance.</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RF-09, RF-12</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el avance en conflicto y confirmar antes de recargar.</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CP-FE-19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RF-10, RF-12</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el avance si la API falla y cancelar navegación.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RF-12</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Impedir texto vacío y nuevos avances en una causa archivada.</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RF-P04</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Cargar, mapear, previsualizar y confirmar solo filas válidas.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CP-FE-22</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RF-P04, RNF-05</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Rechazar extensiones inseguras y mapeos duplicados.</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CP-FE-23</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RF-10</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No revocar la sesión si se cancela el descarte pendiente.</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CP-FE-24</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Solicitar confirmación antes de cerrar sesión desde la interfaz.</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CP-FE-25</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RF-10</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Descartar cambios solo tras un cierre de sesión correcto.</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CP-FE-26</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RNF-07</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Conservar el borrador cuando falla el cierre de sesión.</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CP-FE-27</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RNF-06</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Avisar tras tres minutos y cerrar diez segundos después.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CP-FE-28</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RNF-06</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Renovar la sesión cuando la persona confirma actividad.</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CP-FE-29</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RF-02, RNF-06</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Reiniciar el tiempo de inactividad tras una interacción.</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CP-FE-30</w:t>
            </w:r>
          </w:p>
        </w:tc>
        <w:tc>
          <w:tcPr>
            <w:tcW w:type="dxa" w:w="1512"/>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RF-18</w:t>
            </w:r>
          </w:p>
        </w:tc>
        <w:tc>
          <w:tcPr>
            <w:tcW w:type="dxa" w:w="597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Agrupar exclusivamente las causas de cada cliente del abogado.</w:t>
            </w:r>
          </w:p>
        </w:tc>
        <w:tc>
          <w:tcPr>
            <w:tcW w:type="dxa" w:w="1296"/>
            <w:vAlign w:val="center"/>
            <w:shd w:fill="F5F0E7"/>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r>
        <w:tc>
          <w:tcPr>
            <w:tcW w:type="dxa" w:w="115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CP-FE-31</w:t>
            </w:r>
          </w:p>
        </w:tc>
        <w:tc>
          <w:tcPr>
            <w:tcW w:type="dxa" w:w="1512"/>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RF-18, RF-05</w:t>
            </w:r>
          </w:p>
        </w:tc>
        <w:tc>
          <w:tcPr>
            <w:tcW w:type="dxa" w:w="597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Pr>
                <w:rFonts w:ascii="Arial" w:hAnsi="Arial"/>
                <w:b w:val="0"/>
                <w:i w:val="0"/>
                <w:color w:val="000000"/>
                <w:sz w:val="13"/>
              </w:rPr>
              <w:t>Buscar clientes por identidad, correo o datos de sus causas.</w:t>
            </w:r>
          </w:p>
        </w:tc>
        <w:tc>
          <w:tcPr>
            <w:tcW w:type="dxa" w:w="1296"/>
            <w:vAlign w:val="center"/>
            <w:shd w:fill="FFFFFF"/>
            <w:tcMar>
              <w:top w:w="70" w:type="dxa"/>
              <w:start w:w="85" w:type="dxa"/>
              <w:bottom w:w="70" w:type="dxa"/>
              <w:end w:w="8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Pr>
                <w:rFonts w:ascii="Arial" w:hAnsi="Arial"/>
                <w:b w:val="0"/>
                <w:i w:val="0"/>
                <w:color w:val="000000"/>
                <w:sz w:val="13"/>
              </w:rPr>
              <w:t>Aprobado</w:t>
            </w:r>
          </w:p>
        </w:tc>
      </w:tr>
    </w:tbl>
    <w:p>
      <w:pPr>
        <w:spacing w:after="20"/>
      </w:pPr>
    </w:p>
    <w:p>
      <w:pPr>
        <w:pStyle w:val="Heading1"/>
        <w:keepNext/>
        <w:spacing w:before="200" w:after="100" w:line="252" w:lineRule="auto"/>
      </w:pPr>
      <w:r>
        <w:rPr>
          <w:rFonts w:ascii="Arial" w:hAnsi="Arial"/>
          <w:b/>
          <w:i w:val="0"/>
          <w:color w:val="000000"/>
          <w:sz w:val="28"/>
        </w:rPr>
        <w:t>4 Evidencia funcional cubierta</w:t>
      </w:r>
    </w:p>
    <w:p>
      <w:pPr>
        <w:pStyle w:val="ListBullet"/>
        <w:spacing w:after="100" w:line="252" w:lineRule="auto"/>
      </w:pPr>
      <w:r>
        <w:rPr>
          <w:rFonts w:ascii="Arial" w:hAnsi="Arial"/>
          <w:b w:val="0"/>
          <w:i w:val="0"/>
          <w:color w:val="000000"/>
          <w:sz w:val="17"/>
        </w:rPr>
        <w:t>Autenticación, bloqueo temporal, restauración, renovación, expiración y cierre de sesión.</w:t>
      </w:r>
    </w:p>
    <w:p>
      <w:pPr>
        <w:pStyle w:val="ListBullet"/>
        <w:spacing w:after="100" w:line="252" w:lineRule="auto"/>
      </w:pPr>
      <w:r>
        <w:rPr>
          <w:rFonts w:ascii="Arial" w:hAnsi="Arial"/>
          <w:b w:val="0"/>
          <w:i w:val="0"/>
          <w:color w:val="000000"/>
          <w:sz w:val="17"/>
        </w:rPr>
        <w:t>Aislamiento por rol, abogado y cliente, sin exposición de notas internas o credenciales.</w:t>
      </w:r>
    </w:p>
    <w:p>
      <w:pPr>
        <w:pStyle w:val="ListBullet"/>
        <w:spacing w:after="100" w:line="252" w:lineRule="auto"/>
      </w:pPr>
      <w:r>
        <w:rPr>
          <w:rFonts w:ascii="Arial" w:hAnsi="Arial"/>
          <w:b w:val="0"/>
          <w:i w:val="0"/>
          <w:color w:val="000000"/>
          <w:sz w:val="17"/>
        </w:rPr>
        <w:t>Registro, edición, archivo, avances e historial con control atómico de versión.</w:t>
      </w:r>
    </w:p>
    <w:p>
      <w:pPr>
        <w:pStyle w:val="ListBullet"/>
        <w:spacing w:after="100" w:line="252" w:lineRule="auto"/>
      </w:pPr>
      <w:r>
        <w:rPr>
          <w:rFonts w:ascii="Arial" w:hAnsi="Arial"/>
          <w:b w:val="0"/>
          <w:i w:val="0"/>
          <w:color w:val="000000"/>
          <w:sz w:val="17"/>
        </w:rPr>
        <w:t>Importación Excel con validación de archivo, mapeo, vista previa, duplicados y confirmación de filas válidas.</w:t>
      </w:r>
    </w:p>
    <w:p>
      <w:pPr>
        <w:pStyle w:val="ListBullet"/>
        <w:spacing w:after="100" w:line="252" w:lineRule="auto"/>
      </w:pPr>
      <w:r>
        <w:rPr>
          <w:rFonts w:ascii="Arial" w:hAnsi="Arial"/>
          <w:b w:val="0"/>
          <w:i w:val="0"/>
          <w:color w:val="000000"/>
          <w:sz w:val="17"/>
        </w:rPr>
        <w:t>Supervisión global de solo lectura con alertas, filtros, resúmenes y paginación.</w:t>
      </w:r>
    </w:p>
    <w:p>
      <w:pPr>
        <w:pStyle w:val="ListBullet"/>
        <w:spacing w:after="100" w:line="252" w:lineRule="auto"/>
      </w:pPr>
      <w:r>
        <w:rPr>
          <w:rFonts w:ascii="Arial" w:hAnsi="Arial"/>
          <w:b w:val="0"/>
          <w:i w:val="0"/>
          <w:color w:val="000000"/>
          <w:sz w:val="17"/>
        </w:rPr>
        <w:t>Portal cliente simplificado, filtros de causas y estados de carga, error y vacío.</w:t>
      </w:r>
    </w:p>
    <w:p>
      <w:pPr>
        <w:pStyle w:val="ListBullet"/>
        <w:spacing w:after="100" w:line="252" w:lineRule="auto"/>
      </w:pPr>
      <w:r>
        <w:rPr>
          <w:rFonts w:ascii="Arial" w:hAnsi="Arial"/>
          <w:b w:val="0"/>
          <w:i w:val="0"/>
          <w:color w:val="000000"/>
          <w:sz w:val="17"/>
        </w:rPr>
        <w:t>Cartera de clientes del abogado con agrupación segura, búsqueda y acceso a causas.</w:t>
      </w:r>
    </w:p>
    <w:p>
      <w:pPr>
        <w:pStyle w:val="ListBullet"/>
        <w:spacing w:after="100" w:line="252" w:lineRule="auto"/>
      </w:pPr>
      <w:r>
        <w:rPr>
          <w:rFonts w:ascii="Arial" w:hAnsi="Arial"/>
          <w:b w:val="0"/>
          <w:i w:val="0"/>
          <w:color w:val="000000"/>
          <w:sz w:val="17"/>
        </w:rPr>
        <w:t>Protección de borradores y confirmaciones antes de navegación o cierre de sesión.</w:t>
      </w:r>
    </w:p>
    <w:p>
      <w:pPr>
        <w:pStyle w:val="Heading1"/>
        <w:keepNext/>
        <w:spacing w:before="200" w:after="100" w:line="252" w:lineRule="auto"/>
      </w:pPr>
      <w:r>
        <w:rPr>
          <w:rFonts w:ascii="Arial" w:hAnsi="Arial"/>
          <w:b/>
          <w:i w:val="0"/>
          <w:color w:val="000000"/>
          <w:sz w:val="28"/>
        </w:rPr>
        <w:t>5 Incidencias de entorno y resolución</w:t>
      </w:r>
    </w:p>
    <w:p>
      <w:pPr>
        <w:spacing w:after="120" w:line="259" w:lineRule="auto"/>
      </w:pPr>
      <w:r>
        <w:rPr>
          <w:rFonts w:ascii="Arial" w:hAnsi="Arial"/>
          <w:b w:val="0"/>
          <w:i w:val="0"/>
          <w:color w:val="000000"/>
          <w:sz w:val="18"/>
        </w:rPr>
        <w:t>La suite backend necesita acceso directo al PostgreSQL local. Cuando el proceso se ejecuta en un entorno restringido sin permiso de conexión al puerto 55432, la preparación del esquema no puede comenzar. Al repetir la ejecución con acceso al servicio local configurado, las 31 pruebas terminaron aprobadas. Esta condición se clasifica como dependencia de entorno y no como defecto del producto.</w:t>
      </w:r>
    </w:p>
    <w:p>
      <w:pPr>
        <w:pStyle w:val="Heading1"/>
        <w:keepNext/>
        <w:spacing w:before="200" w:after="100" w:line="252" w:lineRule="auto"/>
      </w:pPr>
      <w:r>
        <w:rPr>
          <w:rFonts w:ascii="Arial" w:hAnsi="Arial"/>
          <w:b/>
          <w:i w:val="0"/>
          <w:color w:val="000000"/>
          <w:sz w:val="28"/>
        </w:rPr>
        <w:t>6 Límites de la conclusión</w:t>
      </w:r>
    </w:p>
    <w:p>
      <w:pPr>
        <w:pStyle w:val="ListBullet"/>
        <w:spacing w:after="100" w:line="252" w:lineRule="auto"/>
      </w:pPr>
      <w:r>
        <w:rPr>
          <w:rFonts w:ascii="Arial" w:hAnsi="Arial"/>
          <w:b w:val="0"/>
          <w:i w:val="0"/>
          <w:color w:val="000000"/>
          <w:sz w:val="17"/>
        </w:rPr>
        <w:t>No se ejecutaron pruebas de carga, pentesting, accesibilidad integral ni compatibilidad multinavegador.</w:t>
      </w:r>
    </w:p>
    <w:p>
      <w:pPr>
        <w:pStyle w:val="ListBullet"/>
        <w:spacing w:after="100" w:line="252" w:lineRule="auto"/>
      </w:pPr>
      <w:r>
        <w:rPr>
          <w:rFonts w:ascii="Arial" w:hAnsi="Arial"/>
          <w:b w:val="0"/>
          <w:i w:val="0"/>
          <w:color w:val="000000"/>
          <w:sz w:val="17"/>
        </w:rPr>
        <w:t>La interfaz se cubre con pruebas de componentes; los flujos visuales deben revisarse nuevamente después de cambios de diseño significativos.</w:t>
      </w:r>
    </w:p>
    <w:p>
      <w:pPr>
        <w:pStyle w:val="ListBullet"/>
        <w:spacing w:after="100" w:line="252" w:lineRule="auto"/>
      </w:pPr>
      <w:r>
        <w:rPr>
          <w:rFonts w:ascii="Arial" w:hAnsi="Arial"/>
          <w:b w:val="0"/>
          <w:i w:val="0"/>
          <w:color w:val="000000"/>
          <w:sz w:val="17"/>
        </w:rPr>
        <w:t>La persistencia de documentos y solicitudes valida la base del dominio, pero la experiencia completa todavía no está disponible en la interfaz.</w:t>
      </w:r>
    </w:p>
    <w:p>
      <w:pPr>
        <w:pStyle w:val="ListBullet"/>
        <w:spacing w:after="100" w:line="252" w:lineRule="auto"/>
      </w:pPr>
      <w:r>
        <w:rPr>
          <w:rFonts w:ascii="Arial" w:hAnsi="Arial"/>
          <w:b w:val="0"/>
          <w:i w:val="0"/>
          <w:color w:val="000000"/>
          <w:sz w:val="17"/>
        </w:rPr>
        <w:t>Recuperación de contraseña, alta de clientes, cambio obligatorio de clave, notificaciones e integración SAJ continúan en backlog.</w:t>
      </w:r>
    </w:p>
    <w:p>
      <w:pPr>
        <w:pStyle w:val="ListBullet"/>
        <w:spacing w:after="100" w:line="252" w:lineRule="auto"/>
      </w:pPr>
      <w:r>
        <w:rPr>
          <w:rFonts w:ascii="Arial" w:hAnsi="Arial"/>
          <w:b w:val="0"/>
          <w:i w:val="0"/>
          <w:color w:val="000000"/>
          <w:sz w:val="17"/>
        </w:rPr>
        <w:t>Los resultados corresponden al entorno local y a datos ficticios controlados.</w:t>
      </w:r>
    </w:p>
    <w:p>
      <w:pPr>
        <w:pStyle w:val="Heading1"/>
        <w:keepNext/>
        <w:spacing w:before="200" w:after="100" w:line="252" w:lineRule="auto"/>
      </w:pPr>
      <w:r>
        <w:rPr>
          <w:rFonts w:ascii="Arial" w:hAnsi="Arial"/>
          <w:b/>
          <w:i w:val="0"/>
          <w:color w:val="000000"/>
          <w:sz w:val="28"/>
        </w:rPr>
        <w:t>7 Conclusión</w:t>
      </w:r>
    </w:p>
    <w:p>
      <w:pPr>
        <w:spacing w:after="120" w:line="259" w:lineRule="auto"/>
      </w:pPr>
      <w:r>
        <w:rPr>
          <w:rFonts w:ascii="Arial" w:hAnsi="Arial"/>
          <w:b w:val="0"/>
          <w:i w:val="0"/>
          <w:color w:val="000000"/>
          <w:sz w:val="18"/>
        </w:rPr>
        <w:t>El incremento actualizado cumple el criterio de salida definido para esta entrega: 62 pruebas automatizadas aprobadas, compilación integrada en las suites y cero defectos automatizados abiertos. La evidencia respalda las capacidades implementadas hasta el 23 de octubre de 2026 y permite continuar con el backlog sin declarar como terminadas funciones que aún requieren desarrollo.</w:t>
      </w:r>
    </w:p>
    <w:sectPr w:rsidR="00FC693F" w:rsidRPr="0006063C" w:rsidSect="00034616">
      <w:headerReference w:type="default" r:id="rId9"/>
      <w:footerReference w:type="default" r:id="rId10"/>
      <w:pgSz w:w="12240" w:h="15840"/>
      <w:pgMar w:top="1037" w:right="1123" w:bottom="979"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LEX CORPUS  |  Resultados de pruebas  |  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7703"/>
          <w:tcMar>
            <w:top w:w="30" w:type="dxa"/>
            <w:start w:w="0" w:type="dxa"/>
            <w:bottom w:w="30" w:type="dxa"/>
            <w:end w:w="40" w:type="dxa"/>
          </w:tcMar>
        </w:tcPr>
        <w:p>
          <w:pPr>
            <w:spacing w:after="0"/>
          </w:pPr>
          <w:r>
            <w:rPr>
              <w:rFonts w:ascii="Arial" w:hAnsi="Arial"/>
              <w:b/>
              <w:color w:val="17365D"/>
              <w:sz w:val="14"/>
            </w:rPr>
            <w:t>ESCUELA DE INFORMÁTICA Y TELECOMUNICACIONES</w:t>
            <w:br/>
            <w:t>CAPSTONE APT122  ·  FASE 2</w:t>
            <w:br/>
            <w:t>LEX CORPUS  ·  DOCUMENTACIÓN TÉCNICA</w:t>
          </w:r>
        </w:p>
      </w:tc>
      <w:tc>
        <w:tcPr>
          <w:tcW w:type="dxa" w:w="2289"/>
          <w:tcMar>
            <w:top w:w="0" w:type="dxa"/>
            <w:start w:w="30" w:type="dxa"/>
            <w:bottom w:w="0" w:type="dxa"/>
            <w:end w:w="0" w:type="dxa"/>
          </w:tcMar>
        </w:tcPr>
        <w:p>
          <w:pPr>
            <w:jc w:val="right"/>
          </w:pPr>
          <w:r>
            <w:drawing>
              <wp:inline xmlns:a="http://schemas.openxmlformats.org/drawingml/2006/main" xmlns:pic="http://schemas.openxmlformats.org/drawingml/2006/picture">
                <wp:extent cx="1261872" cy="282483"/>
                <wp:docPr id="1" name="Picture 1" descr="Image: item1.xml"/>
                <wp:cNvGraphicFramePr>
                  <a:graphicFrameLocks noChangeAspect="1"/>
                </wp:cNvGraphicFramePr>
                <a:graphic>
                  <a:graphicData uri="http://schemas.openxmlformats.org/drawingml/2006/picture">
                    <pic:pic>
                      <pic:nvPicPr>
                        <pic:cNvPr id="0" name="logo_duoc_uc.png"/>
                        <pic:cNvPicPr/>
                      </pic:nvPicPr>
                      <pic:blipFill>
                        <a:blip r:embed="rId1"/>
                        <a:stretch>
                          <a:fillRect/>
                        </a:stretch>
                      </pic:blipFill>
                      <pic:spPr>
                        <a:xfrm>
                          <a:off x="0" y="0"/>
                          <a:ext cx="1261872" cy="282483"/>
                        </a:xfrm>
                        <a:prstGeom prst="rect"/>
                      </pic:spPr>
                    </pic:pic>
                  </a:graphicData>
                </a:graphic>
              </wp:inline>
            </w:drawing>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Resultados Pruebas LEX CORPUS</dc:title>
  <dc:subject>Documentación técnica LEX CORPUS</dc:subject>
  <dc:creator>Emerson Jiménez Loaiza · Natanael Labrea · Sebastián González</dc:creator>
  <cp:keywords>LEX CORPUS, APT122, Angular, NestJS, PostgreSQL</cp:keywords>
  <dc:description>generated by python-docx</dc:description>
  <cp:lastModifiedBy/>
  <cp:revision>1</cp:revision>
  <dcterms:created xsi:type="dcterms:W3CDTF">2013-12-23T23:15:00Z</dcterms:created>
  <dcterms:modified xsi:type="dcterms:W3CDTF">2013-12-23T23:15:00Z</dcterms:modified>
  <cp:category/>
</cp:coreProperties>
</file>