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1F2A"/>
          <w:sz w:val="40"/>
        </w:rPr>
        <w:t>Plan del Proyecto</w:t>
      </w:r>
    </w:p>
    <w:p>
      <w:pPr>
        <w:jc w:val="center"/>
      </w:pPr>
      <w:r>
        <w:rPr>
          <w:b/>
          <w:sz w:val="30"/>
        </w:rPr>
        <w:t>LEX-CORPUS</w:t>
      </w:r>
    </w:p>
    <w:p>
      <w:pPr>
        <w:jc w:val="center"/>
      </w:pPr>
      <w:r>
        <w:rPr>
          <w:i/>
          <w:sz w:val="22"/>
        </w:rPr>
        <w:t>Organización y comunicación para abogados de asistencia judicial</w:t>
      </w:r>
    </w:p>
    <w:p>
      <w:pPr>
        <w:jc w:val="center"/>
      </w:pPr>
      <w:r>
        <w:rPr>
          <w:sz w:val="20"/>
        </w:rPr>
        <w:t>Fecha: 10-09-2026</w:t>
      </w:r>
    </w:p>
    <w:p>
      <w:pPr>
        <w:jc w:val="center"/>
      </w:pPr>
      <w:r>
        <w:rPr>
          <w:sz w:val="20"/>
        </w:rPr>
        <w:t>Integrantes: Emerson Jiménez Loaiza / Natanael Labrea / Sebastián González</w:t>
      </w:r>
    </w:p>
    <w:p>
      <w:pPr>
        <w:jc w:val="center"/>
      </w:pPr>
      <w:r>
        <w:rPr>
          <w:sz w:val="20"/>
        </w:rPr>
        <w:t>Docente: Luis Bravo</w:t>
      </w:r>
    </w:p>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6B1F2A"/>
          </w:tcPr>
          <w:p>
            <w:r/>
            <w:r>
              <w:rPr>
                <w:b/>
                <w:color w:val="FFFFFF"/>
                <w:sz w:val="20"/>
              </w:rPr>
              <w:t>Campo</w:t>
            </w:r>
          </w:p>
        </w:tc>
        <w:tc>
          <w:tcPr>
            <w:tcW w:type="dxa" w:w="5669"/>
            <w:shd w:val="clear" w:color="auto" w:fill="6B1F2A"/>
          </w:tcPr>
          <w:p>
            <w:r/>
            <w:r>
              <w:rPr>
                <w:b/>
                <w:color w:val="FFFFFF"/>
                <w:sz w:val="20"/>
              </w:rPr>
              <w:t>Detalle</w:t>
            </w:r>
          </w:p>
        </w:tc>
      </w:tr>
      <w:tr>
        <w:tc>
          <w:tcPr>
            <w:tcW w:type="dxa" w:w="3402"/>
          </w:tcPr>
          <w:p>
            <w:r/>
            <w:r>
              <w:rPr>
                <w:b w:val="0"/>
                <w:sz w:val="20"/>
              </w:rPr>
              <w:t>Proyecto</w:t>
            </w:r>
          </w:p>
        </w:tc>
        <w:tc>
          <w:tcPr>
            <w:tcW w:type="dxa" w:w="5669"/>
          </w:tcPr>
          <w:p>
            <w:r/>
            <w:r>
              <w:rPr>
                <w:b w:val="0"/>
                <w:sz w:val="20"/>
              </w:rPr>
              <w:t>LEX-CORPUS</w:t>
            </w:r>
          </w:p>
        </w:tc>
      </w:tr>
      <w:tr>
        <w:tc>
          <w:tcPr>
            <w:tcW w:type="dxa" w:w="3402"/>
          </w:tcPr>
          <w:p>
            <w:r/>
            <w:r>
              <w:rPr>
                <w:b w:val="0"/>
                <w:sz w:val="20"/>
              </w:rPr>
              <w:t>Empresa / Organización</w:t>
            </w:r>
          </w:p>
        </w:tc>
        <w:tc>
          <w:tcPr>
            <w:tcW w:type="dxa" w:w="5669"/>
          </w:tcPr>
          <w:p>
            <w:r/>
            <w:r>
              <w:rPr>
                <w:b w:val="0"/>
                <w:sz w:val="20"/>
              </w:rPr>
              <w:t>NikaTechSolutions</w:t>
            </w:r>
          </w:p>
        </w:tc>
      </w:tr>
      <w:tr>
        <w:tc>
          <w:tcPr>
            <w:tcW w:type="dxa" w:w="3402"/>
          </w:tcPr>
          <w:p>
            <w:r/>
            <w:r>
              <w:rPr>
                <w:b w:val="0"/>
                <w:sz w:val="20"/>
              </w:rPr>
              <w:t>Cliente</w:t>
            </w:r>
          </w:p>
        </w:tc>
        <w:tc>
          <w:tcPr>
            <w:tcW w:type="dxa" w:w="5669"/>
          </w:tcPr>
          <w:p>
            <w:r/>
            <w:r>
              <w:rPr>
                <w:b w:val="0"/>
                <w:sz w:val="20"/>
              </w:rPr>
              <w:t>CAJ / Abogados independientes</w:t>
            </w:r>
          </w:p>
        </w:tc>
      </w:tr>
      <w:tr>
        <w:tc>
          <w:tcPr>
            <w:tcW w:type="dxa" w:w="3402"/>
          </w:tcPr>
          <w:p>
            <w:r/>
            <w:r>
              <w:rPr>
                <w:b w:val="0"/>
                <w:sz w:val="20"/>
              </w:rPr>
              <w:t>Patrocinador principal</w:t>
            </w:r>
          </w:p>
        </w:tc>
        <w:tc>
          <w:tcPr>
            <w:tcW w:type="dxa" w:w="5669"/>
          </w:tcPr>
          <w:p>
            <w:r/>
            <w:r>
              <w:rPr>
                <w:b w:val="0"/>
                <w:sz w:val="20"/>
              </w:rPr>
              <w:t>Duoc UC</w:t>
            </w:r>
          </w:p>
        </w:tc>
      </w:tr>
      <w:tr>
        <w:tc>
          <w:tcPr>
            <w:tcW w:type="dxa" w:w="3402"/>
          </w:tcPr>
          <w:p>
            <w:r/>
            <w:r>
              <w:rPr>
                <w:b w:val="0"/>
                <w:sz w:val="20"/>
              </w:rPr>
              <w:t>Equipo de desarrollo</w:t>
            </w:r>
          </w:p>
        </w:tc>
        <w:tc>
          <w:tcPr>
            <w:tcW w:type="dxa" w:w="5669"/>
          </w:tcPr>
          <w:p>
            <w:r/>
            <w:r>
              <w:rPr>
                <w:b w:val="0"/>
                <w:sz w:val="20"/>
              </w:rPr>
              <w:t>Emerson Jiménez Loaiza / Natanael Labrea / Sebastián González</w:t>
            </w:r>
          </w:p>
        </w:tc>
      </w:tr>
      <w:tr>
        <w:tc>
          <w:tcPr>
            <w:tcW w:type="dxa" w:w="3402"/>
          </w:tcPr>
          <w:p>
            <w:r/>
            <w:r>
              <w:rPr>
                <w:b w:val="0"/>
                <w:sz w:val="20"/>
              </w:rPr>
              <w:t>Docente / Evaluador</w:t>
            </w:r>
          </w:p>
        </w:tc>
        <w:tc>
          <w:tcPr>
            <w:tcW w:type="dxa" w:w="5669"/>
          </w:tcPr>
          <w:p>
            <w:r/>
            <w:r>
              <w:rPr>
                <w:b w:val="0"/>
                <w:sz w:val="20"/>
              </w:rPr>
              <w:t>Luis Bravo</w:t>
            </w:r>
          </w:p>
        </w:tc>
      </w:tr>
      <w:tr>
        <w:tc>
          <w:tcPr>
            <w:tcW w:type="dxa" w:w="3402"/>
          </w:tcPr>
          <w:p>
            <w:r/>
            <w:r>
              <w:rPr>
                <w:b w:val="0"/>
                <w:sz w:val="20"/>
              </w:rPr>
              <w:t>Fecha de preparación</w:t>
            </w:r>
          </w:p>
        </w:tc>
        <w:tc>
          <w:tcPr>
            <w:tcW w:type="dxa" w:w="5669"/>
          </w:tcPr>
          <w:p>
            <w:r/>
            <w:r>
              <w:rPr>
                <w:b w:val="0"/>
                <w:sz w:val="20"/>
              </w:rPr>
              <w:t>10-09-2026</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6B1F2A"/>
          </w:tcPr>
          <w:p>
            <w:r/>
            <w:r>
              <w:rPr>
                <w:b/>
                <w:color w:val="FFFFFF"/>
                <w:sz w:val="20"/>
              </w:rPr>
              <w:t>Fecha</w:t>
            </w:r>
          </w:p>
        </w:tc>
        <w:tc>
          <w:tcPr>
            <w:tcW w:type="dxa" w:w="2160"/>
            <w:shd w:val="clear" w:color="auto" w:fill="6B1F2A"/>
          </w:tcPr>
          <w:p>
            <w:r/>
            <w:r>
              <w:rPr>
                <w:b/>
                <w:color w:val="FFFFFF"/>
                <w:sz w:val="20"/>
              </w:rPr>
              <w:t>Versión</w:t>
            </w:r>
          </w:p>
        </w:tc>
        <w:tc>
          <w:tcPr>
            <w:tcW w:type="dxa" w:w="2160"/>
            <w:shd w:val="clear" w:color="auto" w:fill="6B1F2A"/>
          </w:tcPr>
          <w:p>
            <w:r/>
            <w:r>
              <w:rPr>
                <w:b/>
                <w:color w:val="FFFFFF"/>
                <w:sz w:val="20"/>
              </w:rPr>
              <w:t>Autor</w:t>
            </w:r>
          </w:p>
        </w:tc>
        <w:tc>
          <w:tcPr>
            <w:tcW w:type="dxa" w:w="2160"/>
            <w:shd w:val="clear" w:color="auto" w:fill="6B1F2A"/>
          </w:tcPr>
          <w:p>
            <w:r/>
            <w:r>
              <w:rPr>
                <w:b/>
                <w:color w:val="FFFFFF"/>
                <w:sz w:val="20"/>
              </w:rPr>
              <w:t>Descripción</w:t>
            </w:r>
          </w:p>
        </w:tc>
      </w:tr>
      <w:tr>
        <w:tc>
          <w:tcPr>
            <w:tcW w:type="dxa" w:w="2160"/>
          </w:tcPr>
          <w:p>
            <w:r/>
            <w:r>
              <w:rPr>
                <w:b w:val="0"/>
                <w:sz w:val="20"/>
              </w:rPr>
              <w:t>10-09-2026</w:t>
            </w:r>
          </w:p>
        </w:tc>
        <w:tc>
          <w:tcPr>
            <w:tcW w:type="dxa" w:w="2160"/>
          </w:tcPr>
          <w:p>
            <w:r/>
            <w:r>
              <w:rPr>
                <w:b w:val="0"/>
                <w:sz w:val="20"/>
              </w:rPr>
              <w:t>1.0</w:t>
            </w:r>
          </w:p>
        </w:tc>
        <w:tc>
          <w:tcPr>
            <w:tcW w:type="dxa" w:w="2160"/>
          </w:tcPr>
          <w:p>
            <w:r/>
            <w:r>
              <w:rPr>
                <w:b w:val="0"/>
                <w:sz w:val="20"/>
              </w:rPr>
              <w:t>Equipo LEX-CORPUS</w:t>
            </w:r>
          </w:p>
        </w:tc>
        <w:tc>
          <w:tcPr>
            <w:tcW w:type="dxa" w:w="2160"/>
          </w:tcPr>
          <w:p>
            <w:r/>
            <w:r>
              <w:rPr>
                <w:b w:val="0"/>
                <w:sz w:val="20"/>
              </w:rPr>
              <w:t>Versión inicial del documento.</w:t>
            </w:r>
          </w:p>
        </w:tc>
      </w:tr>
    </w:tbl>
    <w:p/>
    <w:p>
      <w:pPr>
        <w:pStyle w:val="Heading1"/>
      </w:pPr>
      <w:r>
        <w:rPr>
          <w:color w:val="6B1F2A"/>
        </w:rPr>
        <w:t>1. Introducción</w:t>
      </w:r>
    </w:p>
    <w:p>
      <w:r>
        <w:t>Este documento define cómo el equipo organiza y planifica el desarrollo de LEX-CORPUS, herramienta complementaria al sistema oficial de gestión de causas (SAJ) para abogados de asistencia judicial. Se basa en las decisiones de gestión ya adoptadas por el equipo (ver descripcion de proyecto.txt, sección 7) y en el backlog de historias de usuario ya levantado (HISTORIAS_DE_USUARIO.xlsx).</w:t>
      </w:r>
    </w:p>
    <w:p>
      <w:pPr>
        <w:pStyle w:val="Heading1"/>
      </w:pPr>
      <w:r>
        <w:rPr>
          <w:color w:val="6B1F2A"/>
        </w:rPr>
        <w:t>2. Metodología de desarrollo</w:t>
      </w:r>
    </w:p>
    <w:p>
      <w:r>
        <w:t>El equipo adoptó un enfoque híbrido:</w:t>
      </w:r>
    </w:p>
    <w:p>
      <w:pPr>
        <w:pStyle w:val="ListBullet"/>
      </w:pPr>
      <w:r>
        <w:t>Kanban para el flujo de trabajo diario: un tablero visual, sin sprints rígidos ni roles formales asignados por persona.</w:t>
      </w:r>
    </w:p>
    <w:p>
      <w:pPr>
        <w:pStyle w:val="ListBullet"/>
      </w:pPr>
      <w:r>
        <w:t>Iteraciones de tiempo fijo, de estilo Scrum, usadas únicamente para la planificación y las reuniones de cierre/avance — sin adoptar roles ni ceremonias completas de Scrum.</w:t>
      </w:r>
    </w:p>
    <w:p>
      <w:r>
        <w:t>Columnas del tablero Kanban: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6B1F2A"/>
          </w:tcPr>
          <w:p>
            <w:r/>
            <w:r>
              <w:rPr>
                <w:b/>
                <w:color w:val="FFFFFF"/>
                <w:sz w:val="20"/>
              </w:rPr>
              <w:t>Backlog</w:t>
            </w:r>
          </w:p>
        </w:tc>
        <w:tc>
          <w:tcPr>
            <w:tcW w:type="dxa" w:w="1728"/>
            <w:shd w:val="clear" w:color="auto" w:fill="6B1F2A"/>
          </w:tcPr>
          <w:p>
            <w:r/>
            <w:r>
              <w:rPr>
                <w:b/>
                <w:color w:val="FFFFFF"/>
                <w:sz w:val="20"/>
              </w:rPr>
              <w:t>Por hacer</w:t>
            </w:r>
          </w:p>
        </w:tc>
        <w:tc>
          <w:tcPr>
            <w:tcW w:type="dxa" w:w="1728"/>
            <w:shd w:val="clear" w:color="auto" w:fill="6B1F2A"/>
          </w:tcPr>
          <w:p>
            <w:r/>
            <w:r>
              <w:rPr>
                <w:b/>
                <w:color w:val="FFFFFF"/>
                <w:sz w:val="20"/>
              </w:rPr>
              <w:t>En progreso</w:t>
            </w:r>
          </w:p>
        </w:tc>
        <w:tc>
          <w:tcPr>
            <w:tcW w:type="dxa" w:w="1728"/>
            <w:shd w:val="clear" w:color="auto" w:fill="6B1F2A"/>
          </w:tcPr>
          <w:p>
            <w:r/>
            <w:r>
              <w:rPr>
                <w:b/>
                <w:color w:val="FFFFFF"/>
                <w:sz w:val="20"/>
              </w:rPr>
              <w:t>En revisión</w:t>
            </w:r>
          </w:p>
        </w:tc>
        <w:tc>
          <w:tcPr>
            <w:tcW w:type="dxa" w:w="1728"/>
            <w:shd w:val="clear" w:color="auto" w:fill="6B1F2A"/>
          </w:tcPr>
          <w:p>
            <w:r/>
            <w:r>
              <w:rPr>
                <w:b/>
                <w:color w:val="FFFFFF"/>
                <w:sz w:val="20"/>
              </w:rPr>
              <w:t>Hecho</w:t>
            </w:r>
          </w:p>
        </w:tc>
      </w:tr>
      <w:tr>
        <w:tc>
          <w:tcPr>
            <w:tcW w:type="dxa" w:w="1728"/>
          </w:tcPr>
          <w:p>
            <w:r/>
            <w:r>
              <w:rPr>
                <w:b w:val="0"/>
                <w:sz w:val="20"/>
              </w:rPr>
              <w:t>Historias no priorizadas para la iteración actual</w:t>
            </w:r>
          </w:p>
        </w:tc>
        <w:tc>
          <w:tcPr>
            <w:tcW w:type="dxa" w:w="1728"/>
          </w:tcPr>
          <w:p>
            <w:r/>
            <w:r>
              <w:rPr>
                <w:b w:val="0"/>
                <w:sz w:val="20"/>
              </w:rPr>
              <w:t>Priorizadas para esta iteración</w:t>
            </w:r>
          </w:p>
        </w:tc>
        <w:tc>
          <w:tcPr>
            <w:tcW w:type="dxa" w:w="1728"/>
          </w:tcPr>
          <w:p>
            <w:r/>
            <w:r>
              <w:rPr>
                <w:b w:val="0"/>
                <w:sz w:val="20"/>
              </w:rPr>
              <w:t>En desarrollo activo</w:t>
            </w:r>
          </w:p>
        </w:tc>
        <w:tc>
          <w:tcPr>
            <w:tcW w:type="dxa" w:w="1728"/>
          </w:tcPr>
          <w:p>
            <w:r/>
            <w:r>
              <w:rPr>
                <w:b w:val="0"/>
                <w:sz w:val="20"/>
              </w:rPr>
              <w:t>Terminadas, pendientes de validación por otro integrante</w:t>
            </w:r>
          </w:p>
        </w:tc>
        <w:tc>
          <w:tcPr>
            <w:tcW w:type="dxa" w:w="1728"/>
          </w:tcPr>
          <w:p>
            <w:r/>
            <w:r>
              <w:rPr>
                <w:b w:val="0"/>
                <w:sz w:val="20"/>
              </w:rPr>
              <w:t>Validadas y cerradas</w:t>
            </w:r>
          </w:p>
        </w:tc>
      </w:tr>
    </w:tbl>
    <w:p/>
    <w:p>
      <w:r>
        <w:t>Política de flujo sugerida: límite de trabajo en curso (WIP) de 2 historias por integrante en "En progreso" simultáneamente, y una historia se marca "Hecho" solo cuando cumple todos sus criterios de aceptación (ver HISTORIAS_DE_USUARIO.xlsx).</w:t>
      </w:r>
    </w:p>
    <w:p>
      <w:pPr>
        <w:pStyle w:val="Heading1"/>
      </w:pPr>
      <w:r>
        <w:rPr>
          <w:color w:val="6B1F2A"/>
        </w:rPr>
        <w:t>3. Roles del equipo</w:t>
      </w:r>
    </w:p>
    <w:p>
      <w:r>
        <w:t>Consistente con el enfoque Kanban, no se asignan roles fijos de por vida del proyecto por persona; los tres integrantes comparten la responsabilidad de gerencia de proyecto y de desarrollo, rotando la facilitación de las reuniones de planificación e iteración.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B1F2A"/>
          </w:tcPr>
          <w:p>
            <w:r/>
            <w:r>
              <w:rPr>
                <w:b/>
                <w:color w:val="FFFFFF"/>
                <w:sz w:val="20"/>
              </w:rPr>
              <w:t>Integrante / instancia</w:t>
            </w:r>
          </w:p>
        </w:tc>
        <w:tc>
          <w:tcPr>
            <w:tcW w:type="dxa" w:w="4320"/>
            <w:shd w:val="clear" w:color="auto" w:fill="6B1F2A"/>
          </w:tcPr>
          <w:p>
            <w:r/>
            <w:r>
              <w:rPr>
                <w:b/>
                <w:color w:val="FFFFFF"/>
                <w:sz w:val="20"/>
              </w:rPr>
              <w:t>Rol</w:t>
            </w:r>
          </w:p>
        </w:tc>
      </w:tr>
      <w:tr>
        <w:tc>
          <w:tcPr>
            <w:tcW w:type="dxa" w:w="4320"/>
          </w:tcPr>
          <w:p>
            <w:r/>
            <w:r>
              <w:rPr>
                <w:b w:val="0"/>
                <w:sz w:val="20"/>
              </w:rPr>
              <w:t>Emerson Jiménez Loaiza</w:t>
            </w:r>
          </w:p>
        </w:tc>
        <w:tc>
          <w:tcPr>
            <w:tcW w:type="dxa" w:w="4320"/>
          </w:tcPr>
          <w:p>
            <w:r/>
            <w:r>
              <w:rPr>
                <w:b w:val="0"/>
                <w:sz w:val="20"/>
              </w:rPr>
              <w:t>Gerente de Proyecto y Desarrollo</w:t>
            </w:r>
          </w:p>
        </w:tc>
      </w:tr>
      <w:tr>
        <w:tc>
          <w:tcPr>
            <w:tcW w:type="dxa" w:w="4320"/>
          </w:tcPr>
          <w:p>
            <w:r/>
            <w:r>
              <w:rPr>
                <w:b w:val="0"/>
                <w:sz w:val="20"/>
              </w:rPr>
              <w:t>Natanael Labrea</w:t>
            </w:r>
          </w:p>
        </w:tc>
        <w:tc>
          <w:tcPr>
            <w:tcW w:type="dxa" w:w="4320"/>
          </w:tcPr>
          <w:p>
            <w:r/>
            <w:r>
              <w:rPr>
                <w:b w:val="0"/>
                <w:sz w:val="20"/>
              </w:rPr>
              <w:t>Gerente de Proyecto y Desarrollo</w:t>
            </w:r>
          </w:p>
        </w:tc>
      </w:tr>
      <w:tr>
        <w:tc>
          <w:tcPr>
            <w:tcW w:type="dxa" w:w="4320"/>
          </w:tcPr>
          <w:p>
            <w:r/>
            <w:r>
              <w:rPr>
                <w:b w:val="0"/>
                <w:sz w:val="20"/>
              </w:rPr>
              <w:t>Sebastián González</w:t>
            </w:r>
          </w:p>
        </w:tc>
        <w:tc>
          <w:tcPr>
            <w:tcW w:type="dxa" w:w="4320"/>
          </w:tcPr>
          <w:p>
            <w:r/>
            <w:r>
              <w:rPr>
                <w:b w:val="0"/>
                <w:sz w:val="20"/>
              </w:rPr>
              <w:t>Gerente de Proyecto y Desarrollo</w:t>
            </w:r>
          </w:p>
        </w:tc>
      </w:tr>
      <w:tr>
        <w:tc>
          <w:tcPr>
            <w:tcW w:type="dxa" w:w="4320"/>
          </w:tcPr>
          <w:p>
            <w:r/>
            <w:r>
              <w:rPr>
                <w:b w:val="0"/>
                <w:sz w:val="20"/>
              </w:rPr>
              <w:t>Luis Bravo</w:t>
            </w:r>
          </w:p>
        </w:tc>
        <w:tc>
          <w:tcPr>
            <w:tcW w:type="dxa" w:w="4320"/>
          </w:tcPr>
          <w:p>
            <w:r/>
            <w:r>
              <w:rPr>
                <w:b w:val="0"/>
                <w:sz w:val="20"/>
              </w:rPr>
              <w:t>Docente guía / Evaluador</w:t>
            </w:r>
          </w:p>
        </w:tc>
      </w:tr>
    </w:tbl>
    <w:p/>
    <w:p>
      <w:pPr>
        <w:pStyle w:val="Heading1"/>
      </w:pPr>
      <w:r>
        <w:rPr>
          <w:color w:val="6B1F2A"/>
        </w:rPr>
        <w:t>4. Backlog del producto</w:t>
      </w:r>
    </w:p>
    <w:p>
      <w:r>
        <w:t>El backlog inicial está compuesto por 24 historias de usuario (HU-01 a HU-24), priorizadas con escala MoSCoW, registradas en HISTORIAS_DE_USUARIO.xlsx.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6B1F2A"/>
          </w:tcPr>
          <w:p>
            <w:r/>
            <w:r>
              <w:rPr>
                <w:b/>
                <w:color w:val="FFFFFF"/>
                <w:sz w:val="20"/>
              </w:rPr>
              <w:t>Prioridad MoSCoW</w:t>
            </w:r>
          </w:p>
        </w:tc>
        <w:tc>
          <w:tcPr>
            <w:tcW w:type="dxa" w:w="2880"/>
            <w:shd w:val="clear" w:color="auto" w:fill="6B1F2A"/>
          </w:tcPr>
          <w:p>
            <w:r/>
            <w:r>
              <w:rPr>
                <w:b/>
                <w:color w:val="FFFFFF"/>
                <w:sz w:val="20"/>
              </w:rPr>
              <w:t>Cantidad</w:t>
            </w:r>
          </w:p>
        </w:tc>
        <w:tc>
          <w:tcPr>
            <w:tcW w:type="dxa" w:w="2880"/>
            <w:shd w:val="clear" w:color="auto" w:fill="6B1F2A"/>
          </w:tcPr>
          <w:p>
            <w:r/>
            <w:r>
              <w:rPr>
                <w:b/>
                <w:color w:val="FFFFFF"/>
                <w:sz w:val="20"/>
              </w:rPr>
              <w:t>Historias</w:t>
            </w:r>
          </w:p>
        </w:tc>
      </w:tr>
      <w:tr>
        <w:tc>
          <w:tcPr>
            <w:tcW w:type="dxa" w:w="2880"/>
          </w:tcPr>
          <w:p>
            <w:r/>
            <w:r>
              <w:rPr>
                <w:b w:val="0"/>
                <w:sz w:val="20"/>
              </w:rPr>
              <w:t>Must</w:t>
            </w:r>
          </w:p>
        </w:tc>
        <w:tc>
          <w:tcPr>
            <w:tcW w:type="dxa" w:w="2880"/>
          </w:tcPr>
          <w:p>
            <w:r/>
            <w:r>
              <w:rPr>
                <w:b w:val="0"/>
                <w:sz w:val="20"/>
              </w:rPr>
              <w:t>13</w:t>
            </w:r>
          </w:p>
        </w:tc>
        <w:tc>
          <w:tcPr>
            <w:tcW w:type="dxa" w:w="2880"/>
          </w:tcPr>
          <w:p>
            <w:r/>
            <w:r>
              <w:rPr>
                <w:b w:val="0"/>
                <w:sz w:val="20"/>
              </w:rPr>
              <w:t>HU-01, HU-02, HU-03, HU-06, HU-07, HU-10, HU-14, HU-16, HU-17, HU-19, HU-20, HU-21, HU-22</w:t>
            </w:r>
          </w:p>
        </w:tc>
      </w:tr>
      <w:tr>
        <w:tc>
          <w:tcPr>
            <w:tcW w:type="dxa" w:w="2880"/>
          </w:tcPr>
          <w:p>
            <w:r/>
            <w:r>
              <w:rPr>
                <w:b w:val="0"/>
                <w:sz w:val="20"/>
              </w:rPr>
              <w:t>Should</w:t>
            </w:r>
          </w:p>
        </w:tc>
        <w:tc>
          <w:tcPr>
            <w:tcW w:type="dxa" w:w="2880"/>
          </w:tcPr>
          <w:p>
            <w:r/>
            <w:r>
              <w:rPr>
                <w:b w:val="0"/>
                <w:sz w:val="20"/>
              </w:rPr>
              <w:t>10</w:t>
            </w:r>
          </w:p>
        </w:tc>
        <w:tc>
          <w:tcPr>
            <w:tcW w:type="dxa" w:w="2880"/>
          </w:tcPr>
          <w:p>
            <w:r/>
            <w:r>
              <w:rPr>
                <w:b w:val="0"/>
                <w:sz w:val="20"/>
              </w:rPr>
              <w:t>HU-04, HU-05, HU-08, HU-09, HU-11, HU-12, HU-15, HU-18, HU-23, HU-24</w:t>
            </w:r>
          </w:p>
        </w:tc>
      </w:tr>
      <w:tr>
        <w:tc>
          <w:tcPr>
            <w:tcW w:type="dxa" w:w="2880"/>
          </w:tcPr>
          <w:p>
            <w:r/>
            <w:r>
              <w:rPr>
                <w:b w:val="0"/>
                <w:sz w:val="20"/>
              </w:rPr>
              <w:t>Could</w:t>
            </w:r>
          </w:p>
        </w:tc>
        <w:tc>
          <w:tcPr>
            <w:tcW w:type="dxa" w:w="2880"/>
          </w:tcPr>
          <w:p>
            <w:r/>
            <w:r>
              <w:rPr>
                <w:b w:val="0"/>
                <w:sz w:val="20"/>
              </w:rPr>
              <w:t>1</w:t>
            </w:r>
          </w:p>
        </w:tc>
        <w:tc>
          <w:tcPr>
            <w:tcW w:type="dxa" w:w="2880"/>
          </w:tcPr>
          <w:p>
            <w:r/>
            <w:r>
              <w:rPr>
                <w:b w:val="0"/>
                <w:sz w:val="20"/>
              </w:rPr>
              <w:t>HU-13</w:t>
            </w:r>
          </w:p>
        </w:tc>
      </w:tr>
      <w:tr>
        <w:tc>
          <w:tcPr>
            <w:tcW w:type="dxa" w:w="2880"/>
          </w:tcPr>
          <w:p>
            <w:r/>
            <w:r>
              <w:rPr>
                <w:b w:val="0"/>
                <w:sz w:val="20"/>
              </w:rPr>
              <w:t>Won't (esta versión)</w:t>
            </w:r>
          </w:p>
        </w:tc>
        <w:tc>
          <w:tcPr>
            <w:tcW w:type="dxa" w:w="2880"/>
          </w:tcPr>
          <w:p>
            <w:r/>
            <w:r>
              <w:rPr>
                <w:b w:val="0"/>
                <w:sz w:val="20"/>
              </w:rPr>
              <w:t>0</w:t>
            </w:r>
          </w:p>
        </w:tc>
        <w:tc>
          <w:tcPr>
            <w:tcW w:type="dxa" w:w="2880"/>
          </w:tcPr>
          <w:p>
            <w:r/>
            <w:r>
              <w:rPr>
                <w:b w:val="0"/>
                <w:sz w:val="20"/>
              </w:rPr>
              <w:t>—</w:t>
            </w:r>
          </w:p>
        </w:tc>
      </w:tr>
    </w:tbl>
    <w:p/>
    <w:p>
      <w:pPr>
        <w:pStyle w:val="Heading1"/>
      </w:pPr>
      <w:r>
        <w:rPr>
          <w:color w:val="6B1F2A"/>
        </w:rPr>
        <w:t>5. Plan de iteraciones (propuesta)</w:t>
      </w:r>
    </w:p>
    <w:p>
      <w:r>
        <w:rPr>
          <w:i/>
        </w:rPr>
        <w:t>Las fechas exactas de inicio y término de cada iteración quedan a definir por el equipo según el calendario del curso; se propone una duración de referencia de 2 semanas por iteración. El orden sigue la dependencia funcional entre historias (cuenta y acceso antes que panel de causas, panel antes que comunicación/documentos, etc.).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6B1F2A"/>
          </w:tcPr>
          <w:p>
            <w:r/>
            <w:r>
              <w:rPr>
                <w:b/>
                <w:color w:val="FFFFFF"/>
                <w:sz w:val="20"/>
              </w:rPr>
              <w:t>Iteración</w:t>
            </w:r>
          </w:p>
        </w:tc>
        <w:tc>
          <w:tcPr>
            <w:tcW w:type="dxa" w:w="2160"/>
            <w:shd w:val="clear" w:color="auto" w:fill="6B1F2A"/>
          </w:tcPr>
          <w:p>
            <w:r/>
            <w:r>
              <w:rPr>
                <w:b/>
                <w:color w:val="FFFFFF"/>
                <w:sz w:val="20"/>
              </w:rPr>
              <w:t>Duración sugerida</w:t>
            </w:r>
          </w:p>
        </w:tc>
        <w:tc>
          <w:tcPr>
            <w:tcW w:type="dxa" w:w="2160"/>
            <w:shd w:val="clear" w:color="auto" w:fill="6B1F2A"/>
          </w:tcPr>
          <w:p>
            <w:r/>
            <w:r>
              <w:rPr>
                <w:b/>
                <w:color w:val="FFFFFF"/>
                <w:sz w:val="20"/>
              </w:rPr>
              <w:t>Objetivo</w:t>
            </w:r>
          </w:p>
        </w:tc>
        <w:tc>
          <w:tcPr>
            <w:tcW w:type="dxa" w:w="2160"/>
            <w:shd w:val="clear" w:color="auto" w:fill="6B1F2A"/>
          </w:tcPr>
          <w:p>
            <w:r/>
            <w:r>
              <w:rPr>
                <w:b/>
                <w:color w:val="FFFFFF"/>
                <w:sz w:val="20"/>
              </w:rPr>
              <w:t>Historias incluidas</w:t>
            </w:r>
          </w:p>
        </w:tc>
      </w:tr>
      <w:tr>
        <w:tc>
          <w:tcPr>
            <w:tcW w:type="dxa" w:w="2160"/>
          </w:tcPr>
          <w:p>
            <w:r/>
            <w:r>
              <w:rPr>
                <w:b w:val="0"/>
                <w:sz w:val="20"/>
              </w:rPr>
              <w:t>Iteración 1 — Cuenta y acceso + Base de causas</w:t>
            </w:r>
          </w:p>
        </w:tc>
        <w:tc>
          <w:tcPr>
            <w:tcW w:type="dxa" w:w="2160"/>
          </w:tcPr>
          <w:p>
            <w:r/>
            <w:r>
              <w:rPr>
                <w:b w:val="0"/>
                <w:sz w:val="20"/>
              </w:rPr>
              <w:t>2 semanas</w:t>
            </w:r>
          </w:p>
        </w:tc>
        <w:tc>
          <w:tcPr>
            <w:tcW w:type="dxa" w:w="2160"/>
          </w:tcPr>
          <w:p>
            <w:r/>
            <w:r>
              <w:rPr>
                <w:b w:val="0"/>
                <w:sz w:val="20"/>
              </w:rPr>
              <w:t>Autenticación de usuarios y alta/carga de causas del abogado</w:t>
            </w:r>
          </w:p>
        </w:tc>
        <w:tc>
          <w:tcPr>
            <w:tcW w:type="dxa" w:w="2160"/>
          </w:tcPr>
          <w:p>
            <w:r/>
            <w:r>
              <w:rPr>
                <w:b w:val="0"/>
                <w:sz w:val="20"/>
              </w:rPr>
              <w:t>HU-01, HU-02, HU-03, HU-06, HU-07, HU-10</w:t>
            </w:r>
          </w:p>
        </w:tc>
      </w:tr>
      <w:tr>
        <w:tc>
          <w:tcPr>
            <w:tcW w:type="dxa" w:w="2160"/>
          </w:tcPr>
          <w:p>
            <w:r/>
            <w:r>
              <w:rPr>
                <w:b w:val="0"/>
                <w:sz w:val="20"/>
              </w:rPr>
              <w:t>Iteración 2 — Comunicación e ingesta de notificaciones</w:t>
            </w:r>
          </w:p>
        </w:tc>
        <w:tc>
          <w:tcPr>
            <w:tcW w:type="dxa" w:w="2160"/>
          </w:tcPr>
          <w:p>
            <w:r/>
            <w:r>
              <w:rPr>
                <w:b w:val="0"/>
                <w:sz w:val="20"/>
              </w:rPr>
              <w:t>2 semanas</w:t>
            </w:r>
          </w:p>
        </w:tc>
        <w:tc>
          <w:tcPr>
            <w:tcW w:type="dxa" w:w="2160"/>
          </w:tcPr>
          <w:p>
            <w:r/>
            <w:r>
              <w:rPr>
                <w:b w:val="0"/>
                <w:sz w:val="20"/>
              </w:rPr>
              <w:t>Comunicación abogado–cliente y confirmación humana de sugerencias de IA</w:t>
            </w:r>
          </w:p>
        </w:tc>
        <w:tc>
          <w:tcPr>
            <w:tcW w:type="dxa" w:w="2160"/>
          </w:tcPr>
          <w:p>
            <w:r/>
            <w:r>
              <w:rPr>
                <w:b w:val="0"/>
                <w:sz w:val="20"/>
              </w:rPr>
              <w:t>HU-14, HU-16, HU-17, HU-19, HU-20</w:t>
            </w:r>
          </w:p>
        </w:tc>
      </w:tr>
      <w:tr>
        <w:tc>
          <w:tcPr>
            <w:tcW w:type="dxa" w:w="2160"/>
          </w:tcPr>
          <w:p>
            <w:r/>
            <w:r>
              <w:rPr>
                <w:b w:val="0"/>
                <w:sz w:val="20"/>
              </w:rPr>
              <w:t>Iteración 3 — Portal del cliente + funcionalidades secundarias</w:t>
            </w:r>
          </w:p>
        </w:tc>
        <w:tc>
          <w:tcPr>
            <w:tcW w:type="dxa" w:w="2160"/>
          </w:tcPr>
          <w:p>
            <w:r/>
            <w:r>
              <w:rPr>
                <w:b w:val="0"/>
                <w:sz w:val="20"/>
              </w:rPr>
              <w:t>2 semanas</w:t>
            </w:r>
          </w:p>
        </w:tc>
        <w:tc>
          <w:tcPr>
            <w:tcW w:type="dxa" w:w="2160"/>
          </w:tcPr>
          <w:p>
            <w:r/>
            <w:r>
              <w:rPr>
                <w:b w:val="0"/>
                <w:sz w:val="20"/>
              </w:rPr>
              <w:t>Portal de solo lectura del cliente y mejoras de uso diario del abogado</w:t>
            </w:r>
          </w:p>
        </w:tc>
        <w:tc>
          <w:tcPr>
            <w:tcW w:type="dxa" w:w="2160"/>
          </w:tcPr>
          <w:p>
            <w:r/>
            <w:r>
              <w:rPr>
                <w:b w:val="0"/>
                <w:sz w:val="20"/>
              </w:rPr>
              <w:t>HU-21, HU-22, HU-04, HU-05, HU-08, HU-09, HU-11, HU-12, HU-15, HU-18, HU-23, HU-24</w:t>
            </w:r>
          </w:p>
        </w:tc>
      </w:tr>
      <w:tr>
        <w:tc>
          <w:tcPr>
            <w:tcW w:type="dxa" w:w="2160"/>
          </w:tcPr>
          <w:p>
            <w:r/>
            <w:r>
              <w:rPr>
                <w:b w:val="0"/>
                <w:sz w:val="20"/>
              </w:rPr>
              <w:t>Iteración 4 — Cierre</w:t>
            </w:r>
          </w:p>
        </w:tc>
        <w:tc>
          <w:tcPr>
            <w:tcW w:type="dxa" w:w="2160"/>
          </w:tcPr>
          <w:p>
            <w:r/>
            <w:r>
              <w:rPr>
                <w:b w:val="0"/>
                <w:sz w:val="20"/>
              </w:rPr>
              <w:t>2 semanas</w:t>
            </w:r>
          </w:p>
        </w:tc>
        <w:tc>
          <w:tcPr>
            <w:tcW w:type="dxa" w:w="2160"/>
          </w:tcPr>
          <w:p>
            <w:r/>
            <w:r>
              <w:rPr>
                <w:b w:val="0"/>
                <w:sz w:val="20"/>
              </w:rPr>
              <w:t>Funcionalidades de menor prioridad, pruebas integrales y documentación final</w:t>
            </w:r>
          </w:p>
        </w:tc>
        <w:tc>
          <w:tcPr>
            <w:tcW w:type="dxa" w:w="2160"/>
          </w:tcPr>
          <w:p>
            <w:r/>
            <w:r>
              <w:rPr>
                <w:b w:val="0"/>
                <w:sz w:val="20"/>
              </w:rPr>
              <w:t>HU-13 + pulido general, pruebas y documentación</w:t>
            </w:r>
          </w:p>
        </w:tc>
      </w:tr>
    </w:tbl>
    <w:p/>
    <w:p>
      <w:pPr>
        <w:pStyle w:val="Heading1"/>
      </w:pPr>
      <w:r>
        <w:rPr>
          <w:color w:val="6B1F2A"/>
        </w:rPr>
        <w:t>6. Seguimiento y control</w:t>
      </w:r>
    </w:p>
    <w:p>
      <w:r>
        <w:t>El avance de cada iteración se registra en el documento "Estados de Avance", actualizado en cada reunión de cierre. Toda reunión de planificación o de cierre de iteración se documenta usando la "Plantilla de Actas de Reunión". Los desacuerdos que surjan durante la ejecución se gestionan según el documento "Resolución de Conflictos".</w:t>
      </w:r>
    </w:p>
    <w:p>
      <w:pPr>
        <w:pStyle w:val="Heading1"/>
      </w:pPr>
      <w:r>
        <w:rPr>
          <w:color w:val="6B1F2A"/>
        </w:rPr>
        <w:t>7. Riesgos generales identificados</w:t>
      </w:r>
    </w:p>
    <w:p>
      <w:r>
        <w:t>Riesgos ya anticipados en el diseño del propio sistema (ver descripcion de proyecto.txt y Documento_casos_uso.doc):</w:t>
      </w:r>
    </w:p>
    <w:p>
      <w:pPr>
        <w:pStyle w:val="ListBullet"/>
      </w:pPr>
      <w:r>
        <w:t>Disponibilidad del servicio de IA generativa usado para interpretar notificaciones: mitigado con un mecanismo de respaldo basado en reglas y patrones de texto (ver CU-02).</w:t>
      </w:r>
    </w:p>
    <w:p>
      <w:pPr>
        <w:pStyle w:val="ListBullet"/>
      </w:pPr>
      <w:r>
        <w:t>Cambios de formato en los archivos que envía el Poder Judicial (Excel de movimientos, PDF de citaciones): mitigado con validación por patrón de dato para detectar cambios de formato en vez de guardar mal silenciosamente (ver sección 3.5).</w:t>
      </w:r>
    </w:p>
    <w:p>
      <w:pPr>
        <w:pStyle w:val="ListBullet"/>
      </w:pPr>
      <w:r>
        <w:t>Carga de trabajo desigual entre los tres integrantes al no existir roles fijos: mitigado revisando la distribución de historias en cada reunión de planificación de iteración.</w:t>
      </w:r>
    </w:p>
    <w:p/>
    <w:p>
      <w:r>
        <w:rPr>
          <w:i/>
          <w:color w:val="6B5A48"/>
          <w:sz w:val="18"/>
        </w:rPr>
        <w:t>Fuente: descripcion de proyecto.txt (secciones 6, 7 y 8), Documento_casos_uso.doc, HISTORIAS_DE_USUARIO.xlsx. Las fechas calendario de las iteraciones son una propuesta y deben confirmarse con el equipo y el docente guía.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