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2DB0C160" w:rsidR="009B49B2" w:rsidRDefault="003F5A8F" w:rsidP="009B49B2">
      <w:pPr>
        <w:pStyle w:val="Heading1"/>
        <w:jc w:val="center"/>
      </w:pPr>
      <w:r>
        <w:t>Pé</w:t>
      </w:r>
      <w:bookmarkStart w:id="0" w:name="_GoBack"/>
      <w:bookmarkEnd w:id="0"/>
      <w:r w:rsidR="009B49B2">
        <w:t xml:space="preserve">nsum Matemáticas </w:t>
      </w:r>
      <w:r w:rsidR="007C3FB8">
        <w:t>Séptimo</w:t>
      </w:r>
    </w:p>
    <w:p w14:paraId="147375A4" w14:textId="77777777" w:rsidR="00951703" w:rsidRDefault="00951703" w:rsidP="0095170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561CF725" w14:textId="77777777" w:rsidR="00951703" w:rsidRPr="00A2468F" w:rsidRDefault="00951703" w:rsidP="0095170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04220CE"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El estudiante egresado de ColombiaCrece es un ser humano que tiene la capacidad de ser feliz pues: </w:t>
      </w:r>
    </w:p>
    <w:p w14:paraId="73F15AEC"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0D39F2A5"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Adquiere conocimiento útil y aplicable que es capaz de relacionar con las experiencias de su vida diaria.</w:t>
      </w:r>
    </w:p>
    <w:p w14:paraId="031E4E6E"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Hace de los valores parte fundamental de su vida. </w:t>
      </w:r>
    </w:p>
    <w:p w14:paraId="3CB38510"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4E048C02"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1F7C075D"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4333E11"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6CE116B9"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12319D7D" w14:textId="77777777" w:rsidR="00951703" w:rsidRPr="00A2468F"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p>
    <w:p w14:paraId="7589279A" w14:textId="77777777" w:rsidR="009B49B2" w:rsidRDefault="009B49B2" w:rsidP="009B49B2">
      <w:pPr>
        <w:pStyle w:val="Heading2"/>
        <w:sectPr w:rsidR="009B49B2" w:rsidSect="00951703">
          <w:pgSz w:w="12240" w:h="15840"/>
          <w:pgMar w:top="1417" w:right="1701" w:bottom="1417" w:left="1701" w:header="708" w:footer="708" w:gutter="0"/>
          <w:cols w:space="708"/>
          <w:docGrid w:linePitch="360"/>
        </w:sectPr>
      </w:pPr>
    </w:p>
    <w:p w14:paraId="70770A6C" w14:textId="77777777" w:rsidR="000E2563" w:rsidRDefault="000E2563" w:rsidP="009B49B2">
      <w:pPr>
        <w:pStyle w:val="Heading2"/>
      </w:pPr>
    </w:p>
    <w:p w14:paraId="5FC43252" w14:textId="77777777" w:rsidR="002D75F4" w:rsidRDefault="002D75F4" w:rsidP="002D75F4">
      <w:pPr>
        <w:pStyle w:val="Heading2"/>
        <w:spacing w:line="360" w:lineRule="auto"/>
      </w:pPr>
      <w:r>
        <w:t>Propósito del Área Matemáticas:</w:t>
      </w:r>
    </w:p>
    <w:p w14:paraId="04CB4E3B" w14:textId="77777777" w:rsidR="002D75F4" w:rsidRPr="00951703" w:rsidRDefault="002D75F4" w:rsidP="002D75F4">
      <w:pPr>
        <w:jc w:val="both"/>
        <w:rPr>
          <w:rFonts w:ascii="Calibri" w:hAnsi="Calibri"/>
          <w:sz w:val="22"/>
        </w:rPr>
      </w:pPr>
      <w:r w:rsidRPr="00951703">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77777777" w:rsidR="009B49B2" w:rsidRDefault="00997310" w:rsidP="009B49B2">
      <w:pPr>
        <w:pStyle w:val="Heading2"/>
      </w:pPr>
      <w:r>
        <w:lastRenderedPageBreak/>
        <w:t>Séptimo</w:t>
      </w:r>
      <w:r w:rsidR="009B49B2">
        <w:t xml:space="preserve">.  </w:t>
      </w:r>
    </w:p>
    <w:p w14:paraId="32278770" w14:textId="77777777" w:rsidR="009B49B2" w:rsidRPr="00997310" w:rsidRDefault="00126D37" w:rsidP="009B49B2">
      <w:pPr>
        <w:pStyle w:val="Heading3"/>
        <w:rPr>
          <w:lang w:val="es-ES_tradnl"/>
        </w:rPr>
      </w:pPr>
      <w:r>
        <w:t xml:space="preserve">1. </w:t>
      </w:r>
      <w:r w:rsidR="002B1A46">
        <w:t>(6</w:t>
      </w:r>
      <w:r w:rsidR="00997310">
        <w:t xml:space="preserve"> Clase</w:t>
      </w:r>
      <w:r w:rsidR="00EE21D8">
        <w:t>s</w:t>
      </w:r>
      <w:r w:rsidR="009B49B2">
        <w:t xml:space="preserve">) </w:t>
      </w:r>
      <w:r w:rsidR="002B1A46">
        <w:rPr>
          <w:lang w:val="es-ES_tradnl"/>
        </w:rPr>
        <w:t>Geometría en 2D</w:t>
      </w:r>
    </w:p>
    <w:p w14:paraId="3183A150" w14:textId="77777777" w:rsidR="009B49B2" w:rsidRPr="00951703" w:rsidRDefault="00126D37" w:rsidP="009B49B2">
      <w:pPr>
        <w:pStyle w:val="Heading4"/>
        <w:rPr>
          <w:rFonts w:ascii="Calibri" w:hAnsi="Calibri"/>
          <w:sz w:val="22"/>
          <w:lang w:val="es-ES_tradnl"/>
        </w:rPr>
      </w:pPr>
      <w:r w:rsidRPr="00951703">
        <w:rPr>
          <w:rFonts w:ascii="Calibri" w:hAnsi="Calibri"/>
          <w:sz w:val="22"/>
        </w:rPr>
        <w:t xml:space="preserve">1.1 </w:t>
      </w:r>
      <w:r w:rsidR="002B1A46" w:rsidRPr="00951703">
        <w:rPr>
          <w:rFonts w:ascii="Calibri" w:hAnsi="Calibri"/>
          <w:sz w:val="22"/>
          <w:lang w:val="es-ES_tradnl"/>
        </w:rPr>
        <w:t>Introducción a los conceptos de dimensión, longitud, perímetro y área</w:t>
      </w:r>
    </w:p>
    <w:p w14:paraId="21D05ACC" w14:textId="77777777" w:rsidR="009B49B2" w:rsidRPr="00951703" w:rsidRDefault="009B49B2" w:rsidP="0010239A">
      <w:pPr>
        <w:jc w:val="both"/>
        <w:rPr>
          <w:rFonts w:ascii="Calibri" w:hAnsi="Calibri"/>
          <w:sz w:val="22"/>
          <w:lang w:val="es-ES_tradnl"/>
        </w:rPr>
      </w:pPr>
      <w:r w:rsidRPr="00951703">
        <w:rPr>
          <w:rFonts w:ascii="Calibri" w:hAnsi="Calibri"/>
          <w:sz w:val="22"/>
        </w:rPr>
        <w:t xml:space="preserve">Objetivo: </w:t>
      </w:r>
      <w:r w:rsidR="002B1A46" w:rsidRPr="00951703">
        <w:rPr>
          <w:rFonts w:ascii="Calibri" w:hAnsi="Calibri"/>
          <w:sz w:val="22"/>
          <w:lang w:val="es-ES_tradnl"/>
        </w:rPr>
        <w:t>Reconoce qué es una dimensión y comprende los conceptos de longitud, perímetro, y área.</w:t>
      </w:r>
    </w:p>
    <w:p w14:paraId="51380AB1" w14:textId="77777777" w:rsidR="009B49B2" w:rsidRPr="00951703" w:rsidRDefault="009B49B2" w:rsidP="009B49B2">
      <w:pPr>
        <w:rPr>
          <w:rFonts w:ascii="Calibri" w:hAnsi="Calibri"/>
          <w:sz w:val="22"/>
        </w:rPr>
      </w:pPr>
      <w:r w:rsidRPr="00951703">
        <w:rPr>
          <w:rFonts w:ascii="Calibri" w:hAnsi="Calibri"/>
          <w:sz w:val="22"/>
        </w:rPr>
        <w:t xml:space="preserve">Nivel: </w:t>
      </w:r>
      <w:r w:rsidR="002B1A46" w:rsidRPr="00951703">
        <w:rPr>
          <w:rFonts w:ascii="Calibri" w:hAnsi="Calibri"/>
          <w:sz w:val="22"/>
        </w:rPr>
        <w:t>Comprensión</w:t>
      </w:r>
      <w:r w:rsidRPr="00951703">
        <w:rPr>
          <w:rFonts w:ascii="Calibri" w:hAnsi="Calibri"/>
          <w:sz w:val="22"/>
        </w:rPr>
        <w:t xml:space="preserve">. </w:t>
      </w:r>
    </w:p>
    <w:p w14:paraId="6DFF062F" w14:textId="77777777" w:rsidR="009B49B2" w:rsidRPr="00951703" w:rsidRDefault="00126D37" w:rsidP="009B49B2">
      <w:pPr>
        <w:pStyle w:val="Heading4"/>
        <w:rPr>
          <w:rFonts w:ascii="Calibri" w:hAnsi="Calibri"/>
          <w:sz w:val="22"/>
          <w:lang w:val="es-ES_tradnl"/>
        </w:rPr>
      </w:pPr>
      <w:r w:rsidRPr="00951703">
        <w:rPr>
          <w:rFonts w:ascii="Calibri" w:hAnsi="Calibri"/>
          <w:sz w:val="22"/>
        </w:rPr>
        <w:t xml:space="preserve">1.2 </w:t>
      </w:r>
      <w:r w:rsidR="002B1A46" w:rsidRPr="00951703">
        <w:rPr>
          <w:rFonts w:ascii="Calibri" w:hAnsi="Calibri"/>
          <w:sz w:val="22"/>
          <w:lang w:val="es-ES_tradnl"/>
        </w:rPr>
        <w:t>Geometría básica: figuras geométricas básicas planas</w:t>
      </w:r>
    </w:p>
    <w:p w14:paraId="6B9D29C4" w14:textId="77777777" w:rsidR="009B49B2" w:rsidRPr="00951703" w:rsidRDefault="009B49B2" w:rsidP="0010239A">
      <w:pPr>
        <w:jc w:val="both"/>
        <w:rPr>
          <w:rFonts w:ascii="Calibri" w:hAnsi="Calibri"/>
          <w:sz w:val="22"/>
          <w:lang w:val="es-ES_tradnl"/>
        </w:rPr>
      </w:pPr>
      <w:r w:rsidRPr="00951703">
        <w:rPr>
          <w:rFonts w:ascii="Calibri" w:hAnsi="Calibri"/>
          <w:sz w:val="22"/>
        </w:rPr>
        <w:t xml:space="preserve">Objetivo: </w:t>
      </w:r>
      <w:r w:rsidR="002B1A46" w:rsidRPr="00951703">
        <w:rPr>
          <w:rFonts w:ascii="Calibri" w:hAnsi="Calibri"/>
          <w:sz w:val="22"/>
          <w:lang w:val="es-ES_tradnl"/>
        </w:rPr>
        <w:t>Identifica las características de las figuras geométricas básicas (círculo, triángulo, cuadriláteros) y con ellas las clasifica.</w:t>
      </w:r>
    </w:p>
    <w:p w14:paraId="0758253D" w14:textId="77777777" w:rsidR="009B49B2" w:rsidRPr="00951703" w:rsidRDefault="009B49B2" w:rsidP="009B49B2">
      <w:pPr>
        <w:rPr>
          <w:rFonts w:ascii="Calibri" w:hAnsi="Calibri"/>
          <w:sz w:val="22"/>
        </w:rPr>
      </w:pPr>
      <w:r w:rsidRPr="00951703">
        <w:rPr>
          <w:rFonts w:ascii="Calibri" w:hAnsi="Calibri"/>
          <w:sz w:val="22"/>
        </w:rPr>
        <w:t xml:space="preserve">Nivel: </w:t>
      </w:r>
      <w:r w:rsidR="002B1A46" w:rsidRPr="00951703">
        <w:rPr>
          <w:rFonts w:ascii="Calibri" w:hAnsi="Calibri"/>
          <w:sz w:val="22"/>
        </w:rPr>
        <w:t>Comprensión.</w:t>
      </w:r>
      <w:r w:rsidRPr="00951703">
        <w:rPr>
          <w:rFonts w:ascii="Calibri" w:hAnsi="Calibri"/>
          <w:sz w:val="22"/>
        </w:rPr>
        <w:t xml:space="preserve"> </w:t>
      </w:r>
    </w:p>
    <w:p w14:paraId="5B995154" w14:textId="77777777" w:rsidR="002B1A46" w:rsidRPr="00951703" w:rsidRDefault="002B1A46" w:rsidP="002B1A46">
      <w:pPr>
        <w:pStyle w:val="Heading4"/>
        <w:rPr>
          <w:rFonts w:ascii="Calibri" w:hAnsi="Calibri"/>
          <w:sz w:val="22"/>
          <w:lang w:val="es-ES_tradnl"/>
        </w:rPr>
      </w:pPr>
      <w:r w:rsidRPr="00951703">
        <w:rPr>
          <w:rFonts w:ascii="Calibri" w:hAnsi="Calibri"/>
          <w:sz w:val="22"/>
        </w:rPr>
        <w:t xml:space="preserve">1.3 </w:t>
      </w:r>
      <w:r w:rsidRPr="00951703">
        <w:rPr>
          <w:rFonts w:ascii="Calibri" w:hAnsi="Calibri"/>
          <w:sz w:val="22"/>
          <w:lang w:val="es-ES_tradnl"/>
        </w:rPr>
        <w:t>Perímetro y área de cuadrados, rectángulos, triángulos y círculos</w:t>
      </w:r>
    </w:p>
    <w:p w14:paraId="23D1D7E3" w14:textId="77777777" w:rsidR="002B1A46" w:rsidRPr="00951703" w:rsidRDefault="002B1A46" w:rsidP="0010239A">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 xml:space="preserve">Calcula el perímetro y área de cuadrados, rectángulos, triángulos y círculos, y resuelve problemas aplicados de la vida diaria en los que éstos conceptos se apliquen. </w:t>
      </w:r>
    </w:p>
    <w:p w14:paraId="4453E72C" w14:textId="77777777" w:rsidR="002B1A46" w:rsidRPr="00951703" w:rsidRDefault="002B1A46" w:rsidP="009B49B2">
      <w:pPr>
        <w:rPr>
          <w:rFonts w:ascii="Calibri" w:hAnsi="Calibri"/>
          <w:sz w:val="22"/>
        </w:rPr>
      </w:pPr>
      <w:r w:rsidRPr="00951703">
        <w:rPr>
          <w:rFonts w:ascii="Calibri" w:hAnsi="Calibri"/>
          <w:sz w:val="22"/>
        </w:rPr>
        <w:t xml:space="preserve">Nivel: Aplicación. </w:t>
      </w:r>
    </w:p>
    <w:p w14:paraId="61D8564E" w14:textId="77777777" w:rsidR="00EE21D8" w:rsidRPr="00951703" w:rsidRDefault="00EE21D8" w:rsidP="00EE21D8">
      <w:pPr>
        <w:pStyle w:val="Heading4"/>
        <w:rPr>
          <w:rFonts w:ascii="Calibri" w:hAnsi="Calibri"/>
          <w:sz w:val="22"/>
          <w:lang w:val="es-ES_tradnl"/>
        </w:rPr>
      </w:pPr>
      <w:r w:rsidRPr="00951703">
        <w:rPr>
          <w:rFonts w:ascii="Calibri" w:hAnsi="Calibri"/>
          <w:sz w:val="22"/>
        </w:rPr>
        <w:t xml:space="preserve">1.4 </w:t>
      </w:r>
      <w:r w:rsidRPr="00951703">
        <w:rPr>
          <w:rFonts w:ascii="Calibri" w:hAnsi="Calibri"/>
          <w:sz w:val="22"/>
          <w:lang w:val="es-ES_tradnl"/>
        </w:rPr>
        <w:t>Perímetro, área de figuras planas complejas</w:t>
      </w:r>
    </w:p>
    <w:p w14:paraId="4373C793" w14:textId="77777777" w:rsidR="00EE21D8" w:rsidRPr="00951703" w:rsidRDefault="00EE21D8" w:rsidP="0010239A">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Calcula el perímetro y área de figuras planas complejas, realizando su descomposición en figuras geométricas sencillas tales como círculos, triángulos y cuadriláteros.</w:t>
      </w:r>
    </w:p>
    <w:p w14:paraId="4BBC390E" w14:textId="77777777" w:rsidR="00EE21D8" w:rsidRPr="00951703" w:rsidRDefault="00EE21D8" w:rsidP="00EE21D8">
      <w:pPr>
        <w:rPr>
          <w:rFonts w:ascii="Calibri" w:hAnsi="Calibri"/>
          <w:sz w:val="22"/>
        </w:rPr>
      </w:pPr>
      <w:r w:rsidRPr="00951703">
        <w:rPr>
          <w:rFonts w:ascii="Calibri" w:hAnsi="Calibri"/>
          <w:sz w:val="22"/>
        </w:rPr>
        <w:t xml:space="preserve">Nivel: Aplicación. </w:t>
      </w:r>
    </w:p>
    <w:p w14:paraId="0EE5A215" w14:textId="77777777" w:rsidR="009A5E47" w:rsidRDefault="009A5E47" w:rsidP="00EE21D8"/>
    <w:p w14:paraId="1A87CADC" w14:textId="77777777" w:rsidR="00EE21D8" w:rsidRDefault="00EE21D8" w:rsidP="00EE21D8">
      <w:pPr>
        <w:pStyle w:val="Heading3"/>
      </w:pPr>
      <w:r>
        <w:t>2. (2 Clases) Geometría en 3D</w:t>
      </w:r>
    </w:p>
    <w:p w14:paraId="667E1B7B" w14:textId="77777777" w:rsidR="00EE21D8" w:rsidRPr="00951703" w:rsidRDefault="00EE21D8" w:rsidP="00EE21D8">
      <w:pPr>
        <w:pStyle w:val="Heading4"/>
        <w:rPr>
          <w:rFonts w:ascii="Calibri" w:hAnsi="Calibri"/>
          <w:sz w:val="22"/>
        </w:rPr>
      </w:pPr>
      <w:r w:rsidRPr="00951703">
        <w:rPr>
          <w:rFonts w:ascii="Calibri" w:hAnsi="Calibri"/>
          <w:sz w:val="22"/>
        </w:rPr>
        <w:t>2.1 Volúmenes</w:t>
      </w:r>
    </w:p>
    <w:p w14:paraId="0EF13B6B" w14:textId="77777777" w:rsidR="00EE21D8" w:rsidRPr="00951703" w:rsidRDefault="00EE21D8" w:rsidP="009A5E47">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Reconoce la existencia de una tercera (3era) dimensión, y calcula el volumen de cuerpos geométricos tales como prismas, poliedros, y cilindros; reconociendo su relación con la vida cotidiana.</w:t>
      </w:r>
    </w:p>
    <w:p w14:paraId="57812367" w14:textId="77777777" w:rsidR="00EE21D8" w:rsidRPr="00951703" w:rsidRDefault="00EE21D8" w:rsidP="009B49B2">
      <w:pPr>
        <w:rPr>
          <w:rFonts w:ascii="Calibri" w:hAnsi="Calibri"/>
          <w:sz w:val="22"/>
        </w:rPr>
      </w:pPr>
      <w:r w:rsidRPr="00951703">
        <w:rPr>
          <w:rFonts w:ascii="Calibri" w:hAnsi="Calibri"/>
          <w:sz w:val="22"/>
        </w:rPr>
        <w:t xml:space="preserve">Nivel: Aplicación. </w:t>
      </w:r>
    </w:p>
    <w:p w14:paraId="103814B7" w14:textId="77777777" w:rsidR="009A5E47" w:rsidRDefault="009A5E47" w:rsidP="009B49B2"/>
    <w:p w14:paraId="527F7257" w14:textId="77777777" w:rsidR="009B49B2" w:rsidRDefault="00EE21D8" w:rsidP="00126D37">
      <w:pPr>
        <w:pStyle w:val="Heading3"/>
      </w:pPr>
      <w:r>
        <w:t>3. (7</w:t>
      </w:r>
      <w:r w:rsidR="00126D37">
        <w:t xml:space="preserve"> Clases) </w:t>
      </w:r>
      <w:r>
        <w:t>Geometría: Ángulos y Triángulos</w:t>
      </w:r>
    </w:p>
    <w:p w14:paraId="7E5266D7" w14:textId="77777777" w:rsidR="00126D37" w:rsidRPr="00951703" w:rsidRDefault="00EE21D8" w:rsidP="00126D37">
      <w:pPr>
        <w:pStyle w:val="Heading4"/>
        <w:rPr>
          <w:rFonts w:ascii="Calibri" w:hAnsi="Calibri"/>
          <w:sz w:val="22"/>
          <w:lang w:val="es-ES_tradnl"/>
        </w:rPr>
      </w:pPr>
      <w:r w:rsidRPr="00951703">
        <w:rPr>
          <w:rFonts w:ascii="Calibri" w:hAnsi="Calibri"/>
          <w:sz w:val="22"/>
        </w:rPr>
        <w:t>3</w:t>
      </w:r>
      <w:r w:rsidR="00126D37" w:rsidRPr="00951703">
        <w:rPr>
          <w:rFonts w:ascii="Calibri" w:hAnsi="Calibri"/>
          <w:sz w:val="22"/>
        </w:rPr>
        <w:t xml:space="preserve">.1 </w:t>
      </w:r>
      <w:r w:rsidRPr="00951703">
        <w:rPr>
          <w:rFonts w:ascii="Calibri" w:hAnsi="Calibri"/>
          <w:sz w:val="22"/>
        </w:rPr>
        <w:t xml:space="preserve">Ángulos: </w:t>
      </w:r>
      <w:r w:rsidRPr="00951703">
        <w:rPr>
          <w:rFonts w:ascii="Calibri" w:hAnsi="Calibri"/>
          <w:sz w:val="22"/>
          <w:lang w:val="es-ES_tradnl"/>
        </w:rPr>
        <w:t>Concepto, clasificación y sistema de medición</w:t>
      </w:r>
    </w:p>
    <w:p w14:paraId="3A40543F" w14:textId="77777777" w:rsidR="00126D37" w:rsidRPr="00951703" w:rsidRDefault="00126D37" w:rsidP="009A5E47">
      <w:pPr>
        <w:jc w:val="both"/>
        <w:rPr>
          <w:rFonts w:ascii="Calibri" w:hAnsi="Calibri"/>
          <w:sz w:val="22"/>
          <w:lang w:val="es-ES_tradnl"/>
        </w:rPr>
      </w:pPr>
      <w:r w:rsidRPr="00951703">
        <w:rPr>
          <w:rFonts w:ascii="Calibri" w:hAnsi="Calibri"/>
          <w:sz w:val="22"/>
        </w:rPr>
        <w:t xml:space="preserve">Objetivo: </w:t>
      </w:r>
      <w:r w:rsidR="009A5E47" w:rsidRPr="00951703">
        <w:rPr>
          <w:rFonts w:ascii="Calibri" w:hAnsi="Calibri"/>
          <w:sz w:val="22"/>
          <w:lang w:val="es-ES_tradnl"/>
        </w:rPr>
        <w:t>Entiende qué es un ángulo y cómo es su sistema de medición en grados (0-360º). Adicionalmente clasifica los ángulos entre agudos, rectos y obtusos, y los mide haciendo uso de un transportador.</w:t>
      </w:r>
    </w:p>
    <w:p w14:paraId="50ECBE64" w14:textId="77777777" w:rsidR="009B49B2" w:rsidRPr="00951703" w:rsidRDefault="00126D37" w:rsidP="009B49B2">
      <w:pPr>
        <w:rPr>
          <w:rFonts w:ascii="Calibri" w:hAnsi="Calibri"/>
          <w:sz w:val="22"/>
        </w:rPr>
      </w:pPr>
      <w:r w:rsidRPr="00951703">
        <w:rPr>
          <w:rFonts w:ascii="Calibri" w:hAnsi="Calibri"/>
          <w:sz w:val="22"/>
        </w:rPr>
        <w:t xml:space="preserve">Nivel: Aplicación. </w:t>
      </w:r>
    </w:p>
    <w:p w14:paraId="2550E370" w14:textId="77777777" w:rsidR="00126D37" w:rsidRPr="00951703" w:rsidRDefault="00EE21D8" w:rsidP="00126D37">
      <w:pPr>
        <w:pStyle w:val="Heading4"/>
        <w:rPr>
          <w:rFonts w:ascii="Calibri" w:hAnsi="Calibri"/>
          <w:sz w:val="22"/>
          <w:lang w:val="es-ES_tradnl"/>
        </w:rPr>
      </w:pPr>
      <w:r w:rsidRPr="00951703">
        <w:rPr>
          <w:rFonts w:ascii="Calibri" w:hAnsi="Calibri"/>
          <w:sz w:val="22"/>
        </w:rPr>
        <w:lastRenderedPageBreak/>
        <w:t>3</w:t>
      </w:r>
      <w:r w:rsidR="00126D37" w:rsidRPr="00951703">
        <w:rPr>
          <w:rFonts w:ascii="Calibri" w:hAnsi="Calibri"/>
          <w:sz w:val="22"/>
        </w:rPr>
        <w:t xml:space="preserve">.2 </w:t>
      </w:r>
      <w:r w:rsidR="009A5E47" w:rsidRPr="00951703">
        <w:rPr>
          <w:rFonts w:ascii="Calibri" w:hAnsi="Calibri"/>
          <w:sz w:val="22"/>
          <w:lang w:val="es-ES_tradnl"/>
        </w:rPr>
        <w:t>Semejanza y congruencia de triángulos</w:t>
      </w:r>
    </w:p>
    <w:p w14:paraId="2B3202C0" w14:textId="77777777" w:rsidR="00126D37" w:rsidRPr="00951703" w:rsidRDefault="00126D37" w:rsidP="0010239A">
      <w:pPr>
        <w:jc w:val="both"/>
        <w:rPr>
          <w:rFonts w:ascii="Calibri" w:hAnsi="Calibri"/>
          <w:sz w:val="22"/>
          <w:lang w:val="es-ES_tradnl"/>
        </w:rPr>
      </w:pPr>
      <w:r w:rsidRPr="00951703">
        <w:rPr>
          <w:rFonts w:ascii="Calibri" w:hAnsi="Calibri"/>
          <w:sz w:val="22"/>
        </w:rPr>
        <w:t xml:space="preserve">Objetivo: </w:t>
      </w:r>
      <w:r w:rsidR="009A5E47" w:rsidRPr="00951703">
        <w:rPr>
          <w:rFonts w:ascii="Calibri" w:hAnsi="Calibri"/>
          <w:sz w:val="22"/>
          <w:lang w:val="es-ES_tradnl"/>
        </w:rPr>
        <w:t>Aplica la semejanza y la congruencia de triángulos en la solución de problemas relacionados con su entorno.</w:t>
      </w:r>
    </w:p>
    <w:p w14:paraId="38A04908" w14:textId="77777777" w:rsidR="00126D37" w:rsidRPr="00951703" w:rsidRDefault="00126D37" w:rsidP="00126D37">
      <w:pPr>
        <w:rPr>
          <w:rFonts w:ascii="Calibri" w:hAnsi="Calibri"/>
          <w:sz w:val="22"/>
        </w:rPr>
      </w:pPr>
      <w:r w:rsidRPr="00951703">
        <w:rPr>
          <w:rFonts w:ascii="Calibri" w:hAnsi="Calibri"/>
          <w:sz w:val="22"/>
        </w:rPr>
        <w:t xml:space="preserve">Nivel: Aplicación. </w:t>
      </w:r>
    </w:p>
    <w:p w14:paraId="781E841B" w14:textId="77777777" w:rsidR="00126D37" w:rsidRPr="00951703" w:rsidRDefault="009A5E47" w:rsidP="00126D37">
      <w:pPr>
        <w:pStyle w:val="Heading4"/>
        <w:rPr>
          <w:rFonts w:ascii="Calibri" w:hAnsi="Calibri"/>
          <w:sz w:val="22"/>
          <w:lang w:val="es-ES_tradnl"/>
        </w:rPr>
      </w:pPr>
      <w:r w:rsidRPr="00951703">
        <w:rPr>
          <w:rFonts w:ascii="Calibri" w:hAnsi="Calibri"/>
          <w:sz w:val="22"/>
        </w:rPr>
        <w:t xml:space="preserve">3.3 </w:t>
      </w:r>
      <w:r w:rsidRPr="00951703">
        <w:rPr>
          <w:rFonts w:ascii="Calibri" w:hAnsi="Calibri"/>
          <w:sz w:val="22"/>
          <w:lang w:val="es-ES_tradnl"/>
        </w:rPr>
        <w:t xml:space="preserve">Teorema de Pitágoras </w:t>
      </w:r>
    </w:p>
    <w:p w14:paraId="45BEF599" w14:textId="77777777" w:rsidR="009A5E47" w:rsidRPr="00951703" w:rsidRDefault="009A5E47" w:rsidP="0010239A">
      <w:pPr>
        <w:jc w:val="both"/>
        <w:rPr>
          <w:rFonts w:ascii="Calibri" w:hAnsi="Calibri"/>
          <w:sz w:val="22"/>
          <w:lang w:val="es-ES_tradnl"/>
        </w:rPr>
      </w:pPr>
      <w:r w:rsidRPr="00951703">
        <w:rPr>
          <w:rFonts w:ascii="Calibri" w:hAnsi="Calibri"/>
          <w:sz w:val="22"/>
          <w:lang w:val="es-ES_tradnl"/>
        </w:rPr>
        <w:t>Descubre la aplicación del teorema de Pitágoras con elementos de su entorno, y resuelve problemas a través de él.</w:t>
      </w:r>
    </w:p>
    <w:p w14:paraId="49E0B6BD" w14:textId="77777777" w:rsidR="00126D37" w:rsidRPr="00951703" w:rsidRDefault="00126D37" w:rsidP="00126D37">
      <w:pPr>
        <w:rPr>
          <w:rFonts w:ascii="Calibri" w:hAnsi="Calibri"/>
          <w:sz w:val="22"/>
        </w:rPr>
      </w:pPr>
      <w:r w:rsidRPr="00951703">
        <w:rPr>
          <w:rFonts w:ascii="Calibri" w:hAnsi="Calibri"/>
          <w:sz w:val="22"/>
        </w:rPr>
        <w:t xml:space="preserve">Nivel: Aplicación. </w:t>
      </w:r>
    </w:p>
    <w:p w14:paraId="191CDC63" w14:textId="77777777" w:rsidR="00951703" w:rsidRDefault="00951703">
      <w:pPr>
        <w:rPr>
          <w:rFonts w:asciiTheme="majorHAnsi" w:eastAsiaTheme="majorEastAsia" w:hAnsiTheme="majorHAnsi" w:cstheme="majorBidi"/>
          <w:bCs/>
          <w:color w:val="4F271C" w:themeColor="text2"/>
          <w:spacing w:val="14"/>
          <w:sz w:val="24"/>
        </w:rPr>
      </w:pPr>
      <w:r>
        <w:br w:type="page"/>
      </w:r>
    </w:p>
    <w:p w14:paraId="441E1F65" w14:textId="2C74D505" w:rsidR="00DD1626" w:rsidRDefault="006F2350" w:rsidP="006F2350">
      <w:pPr>
        <w:pStyle w:val="Heading3"/>
      </w:pPr>
      <w:r>
        <w:lastRenderedPageBreak/>
        <w:t xml:space="preserve">Observaciones: </w:t>
      </w:r>
    </w:p>
    <w:p w14:paraId="23974394" w14:textId="77777777" w:rsidR="005A4D0F" w:rsidRPr="00951703" w:rsidRDefault="005A4D0F" w:rsidP="005A4D0F">
      <w:pPr>
        <w:pStyle w:val="Heading3"/>
        <w:rPr>
          <w:rFonts w:ascii="Calibri" w:eastAsiaTheme="minorHAnsi" w:hAnsi="Calibri" w:cstheme="minorBidi"/>
          <w:bCs w:val="0"/>
          <w:color w:val="auto"/>
          <w:spacing w:val="0"/>
          <w:sz w:val="22"/>
          <w:u w:val="single"/>
        </w:rPr>
      </w:pPr>
      <w:r w:rsidRPr="00951703">
        <w:rPr>
          <w:rFonts w:ascii="Calibri" w:eastAsiaTheme="minorHAnsi" w:hAnsi="Calibri" w:cstheme="minorBidi"/>
          <w:bCs w:val="0"/>
          <w:color w:val="auto"/>
          <w:spacing w:val="0"/>
          <w:sz w:val="22"/>
          <w:u w:val="single"/>
        </w:rPr>
        <w:t>Estrategia de resolución de problemas:</w:t>
      </w:r>
    </w:p>
    <w:p w14:paraId="7D0842BA" w14:textId="77777777" w:rsidR="005A4D0F" w:rsidRPr="00951703" w:rsidRDefault="005A4D0F" w:rsidP="005A4D0F">
      <w:pPr>
        <w:pStyle w:val="Heading3"/>
        <w:jc w:val="both"/>
        <w:rPr>
          <w:rFonts w:ascii="Calibri" w:eastAsiaTheme="minorHAnsi" w:hAnsi="Calibri" w:cstheme="minorBidi"/>
          <w:bCs w:val="0"/>
          <w:color w:val="auto"/>
          <w:spacing w:val="0"/>
          <w:sz w:val="22"/>
        </w:rPr>
      </w:pPr>
    </w:p>
    <w:p w14:paraId="40F4E217" w14:textId="77777777" w:rsidR="005A4D0F" w:rsidRPr="00951703" w:rsidRDefault="005A4D0F" w:rsidP="005A4D0F">
      <w:pPr>
        <w:pStyle w:val="Heading3"/>
        <w:jc w:val="both"/>
        <w:rPr>
          <w:rFonts w:ascii="Calibri" w:eastAsiaTheme="minorHAnsi" w:hAnsi="Calibri" w:cstheme="minorBidi"/>
          <w:bCs w:val="0"/>
          <w:color w:val="auto"/>
          <w:spacing w:val="0"/>
          <w:sz w:val="22"/>
        </w:rPr>
      </w:pPr>
      <w:r w:rsidRPr="00951703">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D926466" w14:textId="77777777" w:rsidR="005A4D0F" w:rsidRPr="00951703" w:rsidRDefault="005A4D0F" w:rsidP="005A4D0F">
      <w:pPr>
        <w:pStyle w:val="Heading3"/>
        <w:jc w:val="both"/>
        <w:rPr>
          <w:rFonts w:ascii="Calibri" w:eastAsiaTheme="minorHAnsi" w:hAnsi="Calibri" w:cstheme="minorBidi"/>
          <w:bCs w:val="0"/>
          <w:color w:val="auto"/>
          <w:spacing w:val="0"/>
          <w:sz w:val="22"/>
        </w:rPr>
      </w:pPr>
    </w:p>
    <w:p w14:paraId="442260F1" w14:textId="77777777" w:rsidR="005A4D0F" w:rsidRPr="00951703" w:rsidRDefault="005A4D0F" w:rsidP="005A4D0F">
      <w:pPr>
        <w:pStyle w:val="Heading3"/>
        <w:jc w:val="both"/>
        <w:rPr>
          <w:rFonts w:ascii="Calibri" w:eastAsiaTheme="minorHAnsi" w:hAnsi="Calibri" w:cstheme="minorBidi"/>
          <w:bCs w:val="0"/>
          <w:color w:val="auto"/>
          <w:spacing w:val="0"/>
          <w:sz w:val="22"/>
        </w:rPr>
      </w:pPr>
      <w:r w:rsidRPr="00951703">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75EDC6C1" w14:textId="77777777" w:rsidR="005A4D0F" w:rsidRPr="00951703" w:rsidRDefault="005A4D0F" w:rsidP="005A4D0F">
      <w:pPr>
        <w:pStyle w:val="ListParagraph"/>
        <w:numPr>
          <w:ilvl w:val="0"/>
          <w:numId w:val="1"/>
        </w:numPr>
        <w:rPr>
          <w:rFonts w:ascii="Calibri" w:hAnsi="Calibri"/>
          <w:color w:val="auto"/>
          <w:sz w:val="22"/>
        </w:rPr>
      </w:pPr>
    </w:p>
    <w:p w14:paraId="3DEEC5B6"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Identificar cuál es la pregunta del problema y qué información me están proporcionando.</w:t>
      </w:r>
    </w:p>
    <w:p w14:paraId="0C23AAAA"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4F57038A"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Reconocer qué unidades, convencionales o no estandarizadas está usando el problema.</w:t>
      </w:r>
    </w:p>
    <w:p w14:paraId="582F9F6C"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3603C75B"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Resolución del problema con planteamientos matemáticos, entendiendo la relación entre el enunciado y las expresiones matemáticas planteadas.</w:t>
      </w:r>
    </w:p>
    <w:p w14:paraId="4A03AEB9"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Una vez obtenido el resultado, identifico si a la luz de los datos, y de acuerdo con mi estimación inicial los resultados son razonables.</w:t>
      </w:r>
    </w:p>
    <w:p w14:paraId="3FC5D55E" w14:textId="77777777" w:rsidR="005A4D0F" w:rsidRPr="005A4D0F" w:rsidRDefault="005A4D0F" w:rsidP="005A4D0F"/>
    <w:p w14:paraId="4CCF476D" w14:textId="767C27B8" w:rsidR="00126D37" w:rsidRDefault="00126D37" w:rsidP="006F2350">
      <w:pPr>
        <w:pStyle w:val="Heading3"/>
        <w:rPr>
          <w:color w:val="3891A7" w:themeColor="accent1"/>
          <w:sz w:val="28"/>
          <w:szCs w:val="26"/>
        </w:rPr>
      </w:pPr>
    </w:p>
    <w:p w14:paraId="46F40779" w14:textId="77777777" w:rsidR="009B49B2" w:rsidRPr="00985258" w:rsidRDefault="009B49B2" w:rsidP="00126D37">
      <w:pPr>
        <w:pStyle w:val="Heading2"/>
      </w:pPr>
      <w:r>
        <w:t xml:space="preserve">Sistema de Evaluación </w:t>
      </w:r>
    </w:p>
    <w:p w14:paraId="1ACF95DC" w14:textId="77777777" w:rsidR="009B49B2" w:rsidRDefault="009B49B2" w:rsidP="009B49B2"/>
    <w:p w14:paraId="28B4D7CA" w14:textId="77777777" w:rsidR="006F2350" w:rsidRPr="00985258" w:rsidRDefault="006F2350" w:rsidP="006F2350">
      <w:pPr>
        <w:pStyle w:val="Heading2"/>
      </w:pPr>
      <w:r>
        <w:t xml:space="preserve">Recursos: </w:t>
      </w:r>
    </w:p>
    <w:p w14:paraId="3CC72312"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E2563"/>
    <w:rsid w:val="0010239A"/>
    <w:rsid w:val="00126D37"/>
    <w:rsid w:val="002B1A46"/>
    <w:rsid w:val="002B4FA0"/>
    <w:rsid w:val="002D75F4"/>
    <w:rsid w:val="003F5A8F"/>
    <w:rsid w:val="0040063E"/>
    <w:rsid w:val="004A5C0C"/>
    <w:rsid w:val="005A4D0F"/>
    <w:rsid w:val="00684C63"/>
    <w:rsid w:val="006F2350"/>
    <w:rsid w:val="007C3FB8"/>
    <w:rsid w:val="008C48C5"/>
    <w:rsid w:val="00951703"/>
    <w:rsid w:val="00997310"/>
    <w:rsid w:val="0099731B"/>
    <w:rsid w:val="009A5E47"/>
    <w:rsid w:val="009B49B2"/>
    <w:rsid w:val="00A6768C"/>
    <w:rsid w:val="00DA5CF6"/>
    <w:rsid w:val="00DD1626"/>
    <w:rsid w:val="00EE21D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8C48C5"/>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8C48C5"/>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8C48C5"/>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8C48C5"/>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8C48C5"/>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8C48C5"/>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8C48C5"/>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8C48C5"/>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95170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951703"/>
  </w:style>
  <w:style w:type="paragraph" w:styleId="Footer">
    <w:name w:val="footer"/>
    <w:basedOn w:val="Normal"/>
    <w:link w:val="FooterChar"/>
    <w:uiPriority w:val="99"/>
    <w:unhideWhenUsed/>
    <w:rsid w:val="0095170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951703"/>
  </w:style>
  <w:style w:type="paragraph" w:customStyle="1" w:styleId="Encabezado1">
    <w:name w:val="Encabezado 1"/>
    <w:basedOn w:val="Normal"/>
    <w:next w:val="Normal"/>
    <w:rsid w:val="0095170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951703"/>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8C48C5"/>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8C48C5"/>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8C48C5"/>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8C48C5"/>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8C48C5"/>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8C48C5"/>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8C48C5"/>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8C48C5"/>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95170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951703"/>
  </w:style>
  <w:style w:type="paragraph" w:styleId="Footer">
    <w:name w:val="footer"/>
    <w:basedOn w:val="Normal"/>
    <w:link w:val="FooterChar"/>
    <w:uiPriority w:val="99"/>
    <w:unhideWhenUsed/>
    <w:rsid w:val="0095170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951703"/>
  </w:style>
  <w:style w:type="paragraph" w:customStyle="1" w:styleId="Encabezado1">
    <w:name w:val="Encabezado 1"/>
    <w:basedOn w:val="Normal"/>
    <w:next w:val="Normal"/>
    <w:rsid w:val="0095170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951703"/>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DCC0F-2105-5042-923A-F6CADFD0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826</Words>
  <Characters>4709</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9</cp:revision>
  <dcterms:created xsi:type="dcterms:W3CDTF">2014-12-03T16:00:00Z</dcterms:created>
  <dcterms:modified xsi:type="dcterms:W3CDTF">2014-12-04T00:02:00Z</dcterms:modified>
</cp:coreProperties>
</file>