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CECF3" w14:textId="0DE0A3A3" w:rsidR="00D84DFD" w:rsidRPr="00EE69FF" w:rsidRDefault="008F1140" w:rsidP="00EE69FF">
      <w:pPr>
        <w:pStyle w:val="Encabezado1"/>
        <w:jc w:val="center"/>
      </w:pPr>
      <w:r>
        <w:t>Pé</w:t>
      </w:r>
      <w:bookmarkStart w:id="0" w:name="_GoBack"/>
      <w:bookmarkEnd w:id="0"/>
      <w:r w:rsidR="00D84DFD" w:rsidRPr="00EE69FF">
        <w:t xml:space="preserve">nsum Ciencias Naturales </w:t>
      </w:r>
      <w:r w:rsidR="00E60AC2" w:rsidRPr="00EE69FF">
        <w:t>Quinto</w:t>
      </w:r>
    </w:p>
    <w:p w14:paraId="0D4AFA20" w14:textId="77777777" w:rsidR="00D84DFD" w:rsidRPr="00D84DFD" w:rsidRDefault="00D84DFD" w:rsidP="00D84DFD"/>
    <w:p w14:paraId="0AD0B2E7" w14:textId="77777777" w:rsidR="00EE69FF" w:rsidRPr="00DD4226" w:rsidRDefault="00EE69FF" w:rsidP="00EE69FF">
      <w:pPr>
        <w:pStyle w:val="Encabezado2"/>
      </w:pPr>
      <w:r w:rsidRPr="00DD4226">
        <w:t>Perfil del Egresado</w:t>
      </w:r>
    </w:p>
    <w:p w14:paraId="036C03A4" w14:textId="77777777" w:rsidR="00EE69FF" w:rsidRPr="00233F3F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61D45523" w14:textId="77777777" w:rsidR="00EE69FF" w:rsidRPr="00233F3F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29D30026" w14:textId="77777777" w:rsidR="00EE69FF" w:rsidRPr="00233F3F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1EB982E1" w14:textId="77777777" w:rsidR="00EE69FF" w:rsidRPr="00233F3F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4DDEB9BE" w14:textId="77777777" w:rsidR="00EE69FF" w:rsidRPr="00233F3F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74889D37" w14:textId="77777777" w:rsidR="00EE69FF" w:rsidRPr="00233F3F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3804361A" w14:textId="77777777" w:rsidR="00EE69FF" w:rsidRPr="00233F3F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149C454F" w14:textId="77777777" w:rsidR="00EE69FF" w:rsidRPr="00233F3F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4A1BB493" w14:textId="77777777" w:rsidR="00EE69FF" w:rsidRPr="00233F3F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23EB532E" w14:textId="77777777" w:rsidR="00EE69FF" w:rsidRPr="00D01B43" w:rsidRDefault="00EE69FF" w:rsidP="00EE69F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14:paraId="15E2D525" w14:textId="77777777" w:rsidR="00EE69FF" w:rsidRPr="00DD4226" w:rsidRDefault="00EE69FF" w:rsidP="00EE69FF">
      <w:pPr>
        <w:pStyle w:val="Encabezado2"/>
      </w:pPr>
      <w:r w:rsidRPr="00DD4226">
        <w:t>Proposito del Área Naturales:</w:t>
      </w:r>
    </w:p>
    <w:p w14:paraId="773B8033" w14:textId="77777777" w:rsidR="008346C4" w:rsidRPr="001C602B" w:rsidRDefault="008346C4" w:rsidP="008346C4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/>
          <w:color w:val="auto"/>
          <w:sz w:val="22"/>
          <w:szCs w:val="22"/>
        </w:rPr>
      </w:pP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Desarrollar en el estudiante la curiosidad</w:t>
      </w:r>
      <w:r w:rsidRPr="00F83E90">
        <w:rPr>
          <w:rFonts w:ascii="Calibri" w:hAnsi="Calibri"/>
          <w:b w:val="0"/>
          <w:bCs w:val="0"/>
          <w:color w:val="auto"/>
          <w:sz w:val="22"/>
          <w:szCs w:val="22"/>
        </w:rPr>
        <w:t xml:space="preserve"> a</w:t>
      </w:r>
      <w:r>
        <w:rPr>
          <w:rFonts w:ascii="Calibri" w:hAnsi="Calibri"/>
          <w:b w:val="0"/>
          <w:bCs w:val="0"/>
          <w:i/>
          <w:color w:val="auto"/>
          <w:sz w:val="22"/>
          <w:szCs w:val="22"/>
        </w:rPr>
        <w:t xml:space="preserve"> </w:t>
      </w: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 w14:paraId="0EE4E285" w14:textId="376A4B87" w:rsidR="00EE69FF" w:rsidRDefault="00EE69FF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br w:type="page"/>
      </w:r>
    </w:p>
    <w:p w14:paraId="03E042F4" w14:textId="77777777" w:rsidR="00A04A23" w:rsidRPr="00D84DFD" w:rsidRDefault="00A04A23" w:rsidP="00A77DB9">
      <w:pPr>
        <w:jc w:val="both"/>
        <w:rPr>
          <w:rFonts w:ascii="Tw Cen MT" w:hAnsi="Tw Cen MT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775"/>
        <w:gridCol w:w="4101"/>
        <w:gridCol w:w="1653"/>
      </w:tblGrid>
      <w:tr w:rsidR="00D84DFD" w:rsidRPr="00EE69FF" w14:paraId="5189204D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D2C6BA" w14:textId="77777777" w:rsidR="00D84DFD" w:rsidRPr="00EE69FF" w:rsidRDefault="00D84DFD" w:rsidP="00EE69FF">
            <w:pPr>
              <w:pStyle w:val="Encabezado2"/>
              <w:jc w:val="center"/>
              <w:rPr>
                <w:sz w:val="24"/>
                <w:szCs w:val="22"/>
              </w:rPr>
            </w:pP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1ED98A" w14:textId="77777777" w:rsidR="00D84DFD" w:rsidRPr="00EE69FF" w:rsidRDefault="00D84DFD" w:rsidP="00EE69FF">
            <w:pPr>
              <w:pStyle w:val="Encabezado2"/>
              <w:jc w:val="center"/>
              <w:rPr>
                <w:sz w:val="24"/>
                <w:szCs w:val="22"/>
              </w:rPr>
            </w:pPr>
            <w:r w:rsidRPr="00EE69FF">
              <w:rPr>
                <w:sz w:val="24"/>
                <w:szCs w:val="22"/>
              </w:rPr>
              <w:t>Contenido de la Clase</w:t>
            </w:r>
          </w:p>
        </w:tc>
        <w:tc>
          <w:tcPr>
            <w:tcW w:w="41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8C424D" w14:textId="77777777" w:rsidR="00D84DFD" w:rsidRPr="00EE69FF" w:rsidRDefault="00D84DFD" w:rsidP="00EE69FF">
            <w:pPr>
              <w:pStyle w:val="Encabezado2"/>
              <w:jc w:val="center"/>
              <w:rPr>
                <w:sz w:val="24"/>
                <w:szCs w:val="22"/>
              </w:rPr>
            </w:pPr>
            <w:r w:rsidRPr="00EE69FF">
              <w:rPr>
                <w:sz w:val="24"/>
                <w:szCs w:val="22"/>
              </w:rPr>
              <w:t>Objetivo:</w:t>
            </w:r>
          </w:p>
        </w:tc>
        <w:tc>
          <w:tcPr>
            <w:tcW w:w="165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D83C2C" w14:textId="77777777" w:rsidR="00D84DFD" w:rsidRPr="00EE69FF" w:rsidRDefault="00505089" w:rsidP="00EE69FF">
            <w:pPr>
              <w:pStyle w:val="Encabezado2"/>
              <w:jc w:val="center"/>
              <w:rPr>
                <w:sz w:val="24"/>
                <w:szCs w:val="22"/>
              </w:rPr>
            </w:pPr>
            <w:r w:rsidRPr="00EE69FF">
              <w:rPr>
                <w:sz w:val="24"/>
                <w:szCs w:val="22"/>
              </w:rPr>
              <w:t>Nivel</w:t>
            </w:r>
          </w:p>
        </w:tc>
      </w:tr>
      <w:tr w:rsidR="00174F03" w:rsidRPr="00EE69FF" w14:paraId="4DD82C48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A90C48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1</w:t>
            </w:r>
          </w:p>
        </w:tc>
        <w:tc>
          <w:tcPr>
            <w:tcW w:w="2775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48E59F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Célula: concepto. Eucariotas y procariotas: diferencias, partes básicas y estructura (Membrana celular, material genético, citoesquelto)</w:t>
            </w:r>
          </w:p>
        </w:tc>
        <w:tc>
          <w:tcPr>
            <w:tcW w:w="410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9DD8D4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Comprende el concepto de célula como la unidad básica de la vida, y sus repercusiones en la dinámica de su propio cuerpo y el de los seres vivos que lo rodean.</w:t>
            </w:r>
          </w:p>
        </w:tc>
        <w:tc>
          <w:tcPr>
            <w:tcW w:w="165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943594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174F03" w:rsidRPr="00EE69FF" w14:paraId="7F8AAB41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27A4DD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2</w:t>
            </w:r>
          </w:p>
        </w:tc>
        <w:tc>
          <w:tcPr>
            <w:tcW w:w="2775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ECA2E8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4101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32520F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53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82D0A2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174F03" w:rsidRPr="00EE69FF" w14:paraId="5631BD93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D8E164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3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4B67B5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Célula eucariota; Organelos: Núcleo, retículo endoplasmático (liso y rugoso).</w:t>
            </w:r>
          </w:p>
        </w:tc>
        <w:tc>
          <w:tcPr>
            <w:tcW w:w="410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D6754E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Entiende e identifica las partes y componentes de la célula eucariota, y su papel dentro del metabolismo y funcionamiento de ésta.</w:t>
            </w:r>
          </w:p>
        </w:tc>
        <w:tc>
          <w:tcPr>
            <w:tcW w:w="165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5EF033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174F03" w:rsidRPr="00EE69FF" w14:paraId="7DA426C5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42A3B7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4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8F923A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Célula eucariota; Organelos: Ribosomas mitocondrias</w:t>
            </w:r>
          </w:p>
        </w:tc>
        <w:tc>
          <w:tcPr>
            <w:tcW w:w="4101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E98060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53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EEE3C1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174F03" w:rsidRPr="00EE69FF" w14:paraId="7D6496CF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705498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5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6A1CF6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Célula eucariota; Organelos: Aparato de Golgi, lisosomas, vacuolas</w:t>
            </w:r>
          </w:p>
        </w:tc>
        <w:tc>
          <w:tcPr>
            <w:tcW w:w="4101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E61016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53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40C9B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174F03" w:rsidRPr="00EE69FF" w14:paraId="0D93B37C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FA70D2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6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C6F83D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Célula eucariota: diferencia entre animal y vegetal. Organelos distintivos: vacuola central vs vacuolas animales, plastos, pared celular.</w:t>
            </w:r>
          </w:p>
        </w:tc>
        <w:tc>
          <w:tcPr>
            <w:tcW w:w="41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2E0EBC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Explica de forma concreta las diferencias entre los dos tipos de células eucariotas, enunciando también sus organelos característicos.</w:t>
            </w:r>
          </w:p>
        </w:tc>
        <w:tc>
          <w:tcPr>
            <w:tcW w:w="165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F7FC37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174F03" w:rsidRPr="00EE69FF" w14:paraId="7E1E49A5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5945EE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7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DCA9E7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Tejido y órgano: conceptos y ejemplos</w:t>
            </w:r>
          </w:p>
        </w:tc>
        <w:tc>
          <w:tcPr>
            <w:tcW w:w="41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6EF93C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Comprende el concepto de tejido y de órgano. Es capaz de enunciar diferentes ejemplos de órganos junto con sus tipos de tejidos, así como sus funciones dentro de la fisiología de un organismo pluricelular, especialmente del cuerpo humano.</w:t>
            </w:r>
          </w:p>
        </w:tc>
        <w:tc>
          <w:tcPr>
            <w:tcW w:w="165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5C1F02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EB360B" w:rsidRPr="00EE69FF" w14:paraId="7FFE0B47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FC33F1" w14:textId="77777777" w:rsidR="00EB360B" w:rsidRPr="00EE69FF" w:rsidRDefault="00EB360B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8</w:t>
            </w:r>
          </w:p>
        </w:tc>
        <w:tc>
          <w:tcPr>
            <w:tcW w:w="8529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61837C" w14:textId="77777777" w:rsidR="00EB360B" w:rsidRPr="00EE69FF" w:rsidRDefault="00EB360B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b/>
                <w:lang w:eastAsia="es-CO"/>
              </w:rPr>
              <w:t>Parcial</w:t>
            </w:r>
          </w:p>
        </w:tc>
      </w:tr>
      <w:tr w:rsidR="00EB360B" w:rsidRPr="00EE69FF" w14:paraId="3651FF60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039DD3" w14:textId="77777777" w:rsidR="00EB360B" w:rsidRPr="00EE69FF" w:rsidRDefault="00EB360B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9</w:t>
            </w:r>
          </w:p>
        </w:tc>
        <w:tc>
          <w:tcPr>
            <w:tcW w:w="8529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CA8B62" w14:textId="77777777" w:rsidR="00EB360B" w:rsidRPr="00EE69FF" w:rsidRDefault="00EB360B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b/>
                <w:lang w:eastAsia="es-CO"/>
              </w:rPr>
              <w:t>Jornada Pedagógica</w:t>
            </w:r>
          </w:p>
        </w:tc>
      </w:tr>
      <w:tr w:rsidR="00174F03" w:rsidRPr="00EE69FF" w14:paraId="1E6B9A3D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BED860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10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7F8DD3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Plantas: organización vegetal, tallo, raíces, hojas, nudos, yemas</w:t>
            </w:r>
          </w:p>
        </w:tc>
        <w:tc>
          <w:tcPr>
            <w:tcW w:w="410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70C547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Identifica los principales órganos de una planta y sus funciones básicas. Reconoce y explica los procesos fisiológicos básicos de los sistemas vegetales que permiten su percepción del entorno y circulación de nutrientes.</w:t>
            </w:r>
          </w:p>
        </w:tc>
        <w:tc>
          <w:tcPr>
            <w:tcW w:w="165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4CF54F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174F03" w:rsidRPr="00EE69FF" w14:paraId="5F0441BA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08D507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11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E1303A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Plantas: sistema circulatorio, xilema, floema, raíces</w:t>
            </w:r>
          </w:p>
        </w:tc>
        <w:tc>
          <w:tcPr>
            <w:tcW w:w="4101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04143C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53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8922AE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174F03" w:rsidRPr="00EE69FF" w14:paraId="7BF8B9AE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5A7894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12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D090D8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 xml:space="preserve">Plantas: sistema de recepción de estímulos por medio de hormonas (Auxinas, gibelinas, citoquininas, ABA Y etileno) y </w:t>
            </w:r>
            <w:r w:rsidRPr="00EE69FF">
              <w:rPr>
                <w:rFonts w:ascii="Calibri" w:eastAsia="Times New Roman" w:hAnsi="Calibri" w:cs="Arial"/>
                <w:lang w:eastAsia="es-CO"/>
              </w:rPr>
              <w:lastRenderedPageBreak/>
              <w:t>nastias</w:t>
            </w:r>
          </w:p>
        </w:tc>
        <w:tc>
          <w:tcPr>
            <w:tcW w:w="4101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518875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53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ECD01D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174F03" w:rsidRPr="00EE69FF" w14:paraId="06E8B724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F83D8D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lastRenderedPageBreak/>
              <w:t>13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5E0F15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Sistema óseo en humanos: función, componentes. Enfermedades comunes y prevención</w:t>
            </w:r>
          </w:p>
        </w:tc>
        <w:tc>
          <w:tcPr>
            <w:tcW w:w="410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756FB2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 xml:space="preserve">Entiende las generalidades de, y las interacciones básicas, entre los sistemas muscular, óseo, </w:t>
            </w:r>
            <w:r w:rsidR="00EB360B" w:rsidRPr="00EE69FF">
              <w:rPr>
                <w:rFonts w:ascii="Calibri" w:eastAsia="Times New Roman" w:hAnsi="Calibri" w:cs="Arial"/>
                <w:lang w:eastAsia="es-CO"/>
              </w:rPr>
              <w:t>circulatorio</w:t>
            </w:r>
            <w:r w:rsidRPr="00EE69FF">
              <w:rPr>
                <w:rFonts w:ascii="Calibri" w:eastAsia="Times New Roman" w:hAnsi="Calibri" w:cs="Arial"/>
                <w:lang w:eastAsia="es-CO"/>
              </w:rPr>
              <w:t xml:space="preserve"> y linfático en humanos, junto con las implicaciones del cuidado de éstos en su salud</w:t>
            </w:r>
          </w:p>
        </w:tc>
        <w:tc>
          <w:tcPr>
            <w:tcW w:w="165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4ADC0D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174F03" w:rsidRPr="00EE69FF" w14:paraId="4CA19B18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C6A071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14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05EA03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Sistema muscular humano: funciones, componentes y funcionamientos. Enfermedades comunes y prevención</w:t>
            </w:r>
          </w:p>
        </w:tc>
        <w:tc>
          <w:tcPr>
            <w:tcW w:w="4101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EF628F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53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A4F040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174F03" w:rsidRPr="00EE69FF" w14:paraId="243E93C1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C7CB5F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15</w:t>
            </w:r>
          </w:p>
        </w:tc>
        <w:tc>
          <w:tcPr>
            <w:tcW w:w="2775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D1EBAF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 xml:space="preserve">Sistema circulatorio humano: tipos de circulación </w:t>
            </w:r>
            <w:r w:rsidR="00EB360B" w:rsidRPr="00EE69FF">
              <w:rPr>
                <w:rFonts w:ascii="Calibri" w:eastAsia="Times New Roman" w:hAnsi="Calibri" w:cs="Arial"/>
                <w:lang w:eastAsia="es-CO"/>
              </w:rPr>
              <w:t>sanguínea</w:t>
            </w:r>
            <w:r w:rsidRPr="00EE69FF">
              <w:rPr>
                <w:rFonts w:ascii="Calibri" w:eastAsia="Times New Roman" w:hAnsi="Calibri" w:cs="Arial"/>
                <w:lang w:eastAsia="es-CO"/>
              </w:rPr>
              <w:t xml:space="preserve"> (sistémica y pulmonar), función, estructuras básicas. Enfermedades comunes y prevención.</w:t>
            </w:r>
          </w:p>
        </w:tc>
        <w:tc>
          <w:tcPr>
            <w:tcW w:w="4101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4B48E7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53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38A5D3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174F03" w:rsidRPr="00EE69FF" w14:paraId="7A2F451F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B70F95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16</w:t>
            </w:r>
          </w:p>
        </w:tc>
        <w:tc>
          <w:tcPr>
            <w:tcW w:w="2775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DD9101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4101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10D750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53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20ECF5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174F03" w:rsidRPr="00EE69FF" w14:paraId="2FFE961C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7BB977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17</w:t>
            </w:r>
          </w:p>
        </w:tc>
        <w:tc>
          <w:tcPr>
            <w:tcW w:w="277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86BFCD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Sistema linfático humano: función, estructuras básicas, patologías y prevención.</w:t>
            </w:r>
          </w:p>
        </w:tc>
        <w:tc>
          <w:tcPr>
            <w:tcW w:w="4101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7916CE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53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6CCCED" w14:textId="77777777" w:rsidR="00174F03" w:rsidRPr="00EE69FF" w:rsidRDefault="00174F03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EB360B" w:rsidRPr="00EE69FF" w14:paraId="1C95536C" w14:textId="77777777" w:rsidTr="00EE69FF">
        <w:trPr>
          <w:trHeight w:val="686"/>
          <w:jc w:val="center"/>
        </w:trPr>
        <w:tc>
          <w:tcPr>
            <w:tcW w:w="39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D18D4F" w14:textId="77777777" w:rsidR="00EB360B" w:rsidRPr="00EE69FF" w:rsidRDefault="00EB360B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lang w:eastAsia="es-CO"/>
              </w:rPr>
              <w:t>18</w:t>
            </w:r>
          </w:p>
        </w:tc>
        <w:tc>
          <w:tcPr>
            <w:tcW w:w="8529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26E113" w14:textId="77777777" w:rsidR="00EB360B" w:rsidRPr="00EE69FF" w:rsidRDefault="00EB360B" w:rsidP="00EE69FF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EE69FF">
              <w:rPr>
                <w:rFonts w:ascii="Calibri" w:eastAsia="Times New Roman" w:hAnsi="Calibri" w:cs="Arial"/>
                <w:b/>
                <w:lang w:eastAsia="es-CO"/>
              </w:rPr>
              <w:t>FINAL</w:t>
            </w:r>
          </w:p>
        </w:tc>
      </w:tr>
    </w:tbl>
    <w:p w14:paraId="27AE0E95" w14:textId="77777777" w:rsidR="00A77DB9" w:rsidRPr="00174F03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174F03" w:rsidSect="00EE6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7976B" w14:textId="77777777" w:rsidR="00E17152" w:rsidRDefault="00E17152" w:rsidP="00A04A23">
      <w:pPr>
        <w:spacing w:after="0" w:line="240" w:lineRule="auto"/>
      </w:pPr>
      <w:r>
        <w:separator/>
      </w:r>
    </w:p>
  </w:endnote>
  <w:endnote w:type="continuationSeparator" w:id="0">
    <w:p w14:paraId="60310B56" w14:textId="77777777" w:rsidR="00E17152" w:rsidRDefault="00E17152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23462" w14:textId="77777777" w:rsidR="00E17152" w:rsidRDefault="00E17152" w:rsidP="00A04A23">
      <w:pPr>
        <w:spacing w:after="0" w:line="240" w:lineRule="auto"/>
      </w:pPr>
      <w:r>
        <w:separator/>
      </w:r>
    </w:p>
  </w:footnote>
  <w:footnote w:type="continuationSeparator" w:id="0">
    <w:p w14:paraId="738BF955" w14:textId="77777777" w:rsidR="00E17152" w:rsidRDefault="00E17152" w:rsidP="00A0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174F03"/>
    <w:rsid w:val="00505089"/>
    <w:rsid w:val="005D4C8A"/>
    <w:rsid w:val="0062410D"/>
    <w:rsid w:val="006B076E"/>
    <w:rsid w:val="008346C4"/>
    <w:rsid w:val="008A68CA"/>
    <w:rsid w:val="008F1140"/>
    <w:rsid w:val="00A04A23"/>
    <w:rsid w:val="00A77DB9"/>
    <w:rsid w:val="00BC25EA"/>
    <w:rsid w:val="00BD63B3"/>
    <w:rsid w:val="00C45B2B"/>
    <w:rsid w:val="00D84DFD"/>
    <w:rsid w:val="00DB2A39"/>
    <w:rsid w:val="00E17152"/>
    <w:rsid w:val="00E60AC2"/>
    <w:rsid w:val="00EA5B33"/>
    <w:rsid w:val="00EB360B"/>
    <w:rsid w:val="00EE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8D4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C45B2B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C45B2B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45B2B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45B2B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C45B2B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C45B2B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C45B2B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45B2B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EE69FF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C45B2B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C45B2B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45B2B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45B2B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C45B2B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C45B2B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C45B2B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45B2B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EE69FF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684</Words>
  <Characters>3900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Juliana Sánchez Posada</cp:lastModifiedBy>
  <cp:revision>10</cp:revision>
  <dcterms:created xsi:type="dcterms:W3CDTF">2014-12-02T23:11:00Z</dcterms:created>
  <dcterms:modified xsi:type="dcterms:W3CDTF">2014-12-04T00:03:00Z</dcterms:modified>
</cp:coreProperties>
</file>