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360"/>
        <w:jc w:val="center"/>
      </w:pPr>
      <w:r>
        <w:rPr/>
        <w:t xml:space="preserve">Pénsum Trasicional </w:t>
      </w:r>
      <w:r>
        <w:rPr/>
        <w:t>Ciencias Naturales Octavo</w:t>
      </w:r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Perfil del Egresado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El estudiante egresado de ColombiaCrece es un ser humano que tiene la capacidad de ser feliz pues: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Adquiere conocimiento útil y aplicable que es capaz de relacionar con las experiencias de su vida diaria.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Hace de los valores parte fundamental de su vida.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b w:val="false"/>
          <w:bCs w:val="false"/>
          <w:color w:val="00000A"/>
          <w:sz w:val="21"/>
          <w:szCs w:val="22"/>
        </w:rPr>
      </w:r>
    </w:p>
    <w:p>
      <w:pPr>
        <w:pStyle w:val="style2"/>
        <w:numPr>
          <w:ilvl w:val="1"/>
          <w:numId w:val="1"/>
        </w:numPr>
      </w:pPr>
      <w:r>
        <w:rPr/>
        <w:t>Proposito del Área Naturales: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Desarrollar en el estudiante la curiosidad a</w:t>
      </w:r>
      <w:r>
        <w:rPr>
          <w:rFonts w:ascii="Calibri" w:hAnsi="Calibri"/>
          <w:b w:val="false"/>
          <w:bCs w:val="false"/>
          <w:i/>
          <w:color w:val="00000A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00000A"/>
          <w:sz w:val="22"/>
          <w:szCs w:val="22"/>
        </w:rPr>
        <w:t>través de la estructuración del pensamiento científico, con el objetivo de entender el proceso de construcción del conocimiento y hacer que él se visualice como agente del mismo. De la misma forma, reforzar la capacidad de abstracción y fomentar el cuestionamiento y el respeto de su entorno, buscando así que el estudiante mejore su calidad de vida.</w:t>
      </w:r>
    </w:p>
    <w:p>
      <w:pPr>
        <w:pStyle w:val="style0"/>
      </w:pPr>
      <w:r>
        <w:rPr>
          <w:rFonts w:ascii="Tw Cen MT" w:hAnsi="Tw Cen MT"/>
          <w:sz w:val="28"/>
          <w:szCs w:val="28"/>
        </w:rPr>
      </w:r>
    </w:p>
    <w:tbl>
      <w:tblPr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70"/>
        <w:gridCol w:w="3542"/>
        <w:gridCol w:w="3686"/>
        <w:gridCol w:w="1560"/>
      </w:tblGrid>
      <w:tr>
        <w:trPr>
          <w:trHeight w:hRule="atLeast" w:val="686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pageBreakBefore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sz w:val="24"/>
                <w:szCs w:val="22"/>
              </w:rPr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sz w:val="24"/>
                <w:szCs w:val="22"/>
              </w:rPr>
              <w:t>Contenido de la Clase</w:t>
            </w:r>
          </w:p>
        </w:tc>
        <w:tc>
          <w:tcPr>
            <w:tcW w:type="dxa" w:w="36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sz w:val="24"/>
                <w:szCs w:val="22"/>
              </w:rPr>
              <w:t>Objetivo: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sz w:val="24"/>
                <w:szCs w:val="22"/>
              </w:rPr>
              <w:t>Nivel</w:t>
            </w:r>
          </w:p>
        </w:tc>
      </w:tr>
      <w:tr>
        <w:trPr>
          <w:trHeight w:hRule="atLeast" w:val="67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</w:t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Reproducción: concepto de reproducción. Tipos de reproducción (sexual, asexual), ejemplos típicos, ventajas y desventajas.</w:t>
            </w:r>
          </w:p>
        </w:tc>
        <w:tc>
          <w:tcPr>
            <w:tcW w:type="dxa" w:w="36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24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br/>
              <w:br/>
              <w:t>Diferencia y comprende las principales características de los tipos de reproducción, y enuncia ejemplos adecuados de éstas.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1171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2</w:t>
            </w:r>
          </w:p>
        </w:tc>
        <w:tc>
          <w:tcPr>
            <w:tcW w:type="dxa" w:w="3542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Reproducción celular: mitosis y meiosis. Cromosomas, genes y herencia.</w:t>
            </w:r>
          </w:p>
        </w:tc>
        <w:tc>
          <w:tcPr>
            <w:tcW w:type="dxa" w:w="3686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24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br/>
              <w:br/>
              <w:t>Comprende los procesos de división celular, y entiende las diferencias y características básicas de la mitosis y la meiosis, así como su relación con la transferencia de información genética.</w:t>
            </w:r>
          </w:p>
        </w:tc>
        <w:tc>
          <w:tcPr>
            <w:tcW w:type="dxa" w:w="1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1061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3</w:t>
            </w:r>
          </w:p>
        </w:tc>
        <w:tc>
          <w:tcPr>
            <w:tcW w:type="dxa" w:w="3542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4</w:t>
            </w:r>
          </w:p>
        </w:tc>
        <w:tc>
          <w:tcPr>
            <w:tcW w:type="dxa" w:w="3542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5</w:t>
            </w:r>
          </w:p>
        </w:tc>
        <w:tc>
          <w:tcPr>
            <w:tcW w:type="dxa" w:w="3542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Patrones de herencia: leyes de Mendel (genes dominantes y recesivos) y herencia ligada al sexo (X dominante, X recesivo, Y)</w:t>
            </w:r>
          </w:p>
        </w:tc>
        <w:tc>
          <w:tcPr>
            <w:tcW w:type="dxa" w:w="3686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Interpreta los principios básicos de las leyes de Mendel, su aplicación típica en los diagramas de Punnet y sus repercusiones en los rasgos fenotípicos de los seres vivos</w:t>
            </w:r>
          </w:p>
        </w:tc>
        <w:tc>
          <w:tcPr>
            <w:tcW w:type="dxa" w:w="1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710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6</w:t>
            </w:r>
          </w:p>
        </w:tc>
        <w:tc>
          <w:tcPr>
            <w:tcW w:type="dxa" w:w="3542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461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7</w:t>
            </w:r>
          </w:p>
        </w:tc>
        <w:tc>
          <w:tcPr>
            <w:tcW w:type="dxa" w:w="3542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8</w:t>
            </w:r>
          </w:p>
        </w:tc>
        <w:tc>
          <w:tcPr>
            <w:tcW w:type="dxa" w:w="8788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b/>
                <w:bCs/>
                <w:lang w:eastAsia="es-CO"/>
              </w:rPr>
              <w:t>Parcial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9</w:t>
            </w:r>
          </w:p>
        </w:tc>
        <w:tc>
          <w:tcPr>
            <w:tcW w:type="dxa" w:w="8788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b/>
                <w:bCs/>
                <w:lang w:eastAsia="es-CO"/>
              </w:rPr>
              <w:t>Jornada Pedagógica</w:t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10</w:t>
            </w:r>
          </w:p>
        </w:tc>
        <w:tc>
          <w:tcPr>
            <w:tcW w:type="dxa" w:w="3542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Reproducción vegetal: reproducción asexual y sexual, estructuras y funciones.</w:t>
            </w:r>
          </w:p>
        </w:tc>
        <w:tc>
          <w:tcPr>
            <w:tcW w:type="dxa" w:w="3686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Describe los procesos de reproducción asexual y sexual vegetal, y es capaz de exponer diversos ejemplos de ambos tipos.</w:t>
            </w:r>
          </w:p>
        </w:tc>
        <w:tc>
          <w:tcPr>
            <w:tcW w:type="dxa" w:w="1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11</w:t>
            </w:r>
          </w:p>
        </w:tc>
        <w:tc>
          <w:tcPr>
            <w:tcW w:type="dxa" w:w="3542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12</w:t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Sistema reproductor en humanos: función, componentes y estructuras básicas.</w:t>
            </w:r>
          </w:p>
        </w:tc>
        <w:tc>
          <w:tcPr>
            <w:tcW w:type="dxa" w:w="36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Describe la anatomía básica y fisiología del sistema reproductor humano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541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13</w:t>
            </w:r>
          </w:p>
        </w:tc>
        <w:tc>
          <w:tcPr>
            <w:tcW w:type="dxa" w:w="3542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Gametogénesis: espermatogénesis y ovogénesis</w:t>
            </w:r>
          </w:p>
        </w:tc>
        <w:tc>
          <w:tcPr>
            <w:tcW w:type="dxa" w:w="3686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Comprende los procesos de producción de las células sexuales del ser humano, y su papel en la herencia genética.</w:t>
            </w:r>
          </w:p>
        </w:tc>
        <w:tc>
          <w:tcPr>
            <w:tcW w:type="dxa" w:w="1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14</w:t>
            </w:r>
          </w:p>
        </w:tc>
        <w:tc>
          <w:tcPr>
            <w:tcW w:type="dxa" w:w="3542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15</w:t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Fecundación y embarazo humanos</w:t>
            </w:r>
          </w:p>
        </w:tc>
        <w:tc>
          <w:tcPr>
            <w:tcW w:type="dxa" w:w="36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Describe el proceso de fecundación y las etapas del desarrollo fetal en los seres humanos.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1229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16</w:t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Enfermedades de transmisión sexual</w:t>
            </w:r>
          </w:p>
        </w:tc>
        <w:tc>
          <w:tcPr>
            <w:tcW w:type="dxa" w:w="3686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Comprende las principales características de las enfermedades de transmisión sexual. Describe los diferentes métodos de planificación, entiende sus efectos en el cuerpo humano y las responsabilidades que estos acarrean.</w:t>
            </w:r>
          </w:p>
        </w:tc>
        <w:tc>
          <w:tcPr>
            <w:tcW w:type="dxa" w:w="1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480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17</w:t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Métodos de planificación</w:t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18</w:t>
            </w:r>
          </w:p>
        </w:tc>
        <w:tc>
          <w:tcPr>
            <w:tcW w:type="dxa" w:w="8788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b/>
                <w:bCs/>
                <w:lang w:eastAsia="es-CO"/>
              </w:rPr>
              <w:t>FINAL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CO"/>
    </w:rPr>
  </w:style>
  <w:style w:styleId="style1" w:type="paragraph">
    <w:name w:val="Encabezado 1"/>
    <w:basedOn w:val="style0"/>
    <w:next w:val="style21"/>
    <w:pPr>
      <w:keepNext/>
      <w:keepLines/>
      <w:tabs>
        <w:tab w:leader="none" w:pos="708" w:val="left"/>
      </w:tabs>
      <w:suppressAutoHyphens w:val="true"/>
      <w:spacing w:after="0" w:before="360" w:line="100" w:lineRule="atLeast"/>
    </w:pPr>
    <w:rPr>
      <w:rFonts w:ascii="Tw Cen MT" w:cs="Tw Cen MT" w:eastAsia="WenQuanYi Micro Hei" w:hAnsi="Tw Cen MT"/>
      <w:bCs/>
      <w:color w:val="3891A7"/>
      <w:spacing w:val="20"/>
      <w:sz w:val="32"/>
      <w:szCs w:val="28"/>
    </w:rPr>
  </w:style>
  <w:style w:styleId="style2" w:type="paragraph">
    <w:name w:val="Encabezado 2"/>
    <w:basedOn w:val="style0"/>
    <w:next w:val="style21"/>
    <w:pPr>
      <w:keepNext/>
      <w:keepLines/>
      <w:numPr>
        <w:ilvl w:val="1"/>
        <w:numId w:val="1"/>
      </w:numPr>
      <w:tabs>
        <w:tab w:leader="none" w:pos="708" w:val="left"/>
      </w:tabs>
      <w:suppressAutoHyphens w:val="true"/>
      <w:spacing w:after="0" w:before="120" w:line="100" w:lineRule="atLeast"/>
      <w:outlineLvl w:val="1"/>
    </w:pPr>
    <w:rPr>
      <w:rFonts w:ascii="Tw Cen MT" w:cs="Tw Cen MT" w:eastAsia="WenQuanYi Micro Hei" w:hAnsi="Tw Cen MT"/>
      <w:b/>
      <w:bCs/>
      <w:color w:val="3891A7"/>
      <w:sz w:val="28"/>
      <w:szCs w:val="26"/>
    </w:rPr>
  </w:style>
  <w:style w:styleId="style3" w:type="paragraph">
    <w:name w:val="Encabezado 3"/>
    <w:basedOn w:val="style0"/>
    <w:next w:val="style21"/>
    <w:pPr>
      <w:keepNext/>
      <w:keepLines/>
      <w:numPr>
        <w:ilvl w:val="2"/>
        <w:numId w:val="1"/>
      </w:numPr>
      <w:suppressAutoHyphens w:val="true"/>
      <w:spacing w:after="0" w:before="20" w:line="100" w:lineRule="atLeast"/>
      <w:outlineLvl w:val="2"/>
    </w:pPr>
    <w:rPr>
      <w:rFonts w:ascii="Tw Cen MT" w:cs="Tw Cen MT" w:eastAsia="WenQuanYi Micro Hei" w:hAnsi="Tw Cen MT"/>
      <w:b/>
      <w:bCs/>
      <w:color w:val="4F271C"/>
      <w:spacing w:val="14"/>
      <w:sz w:val="24"/>
      <w:szCs w:val="28"/>
    </w:rPr>
  </w:style>
  <w:style w:styleId="style4" w:type="paragraph">
    <w:name w:val="Encabezado 4"/>
    <w:basedOn w:val="style0"/>
    <w:next w:val="style21"/>
    <w:pPr>
      <w:keepNext/>
      <w:keepLines/>
      <w:numPr>
        <w:ilvl w:val="3"/>
        <w:numId w:val="1"/>
      </w:numPr>
      <w:tabs>
        <w:tab w:leader="none" w:pos="708" w:val="left"/>
      </w:tabs>
      <w:suppressAutoHyphens w:val="true"/>
      <w:spacing w:after="0" w:before="200"/>
      <w:outlineLvl w:val="3"/>
    </w:pPr>
    <w:rPr>
      <w:rFonts w:ascii="Tw Cen MT" w:cs="Tw Cen MT" w:eastAsia="WenQuanYi Micro Hei" w:hAnsi="Tw Cen MT"/>
      <w:b/>
      <w:bCs/>
      <w:i/>
      <w:iCs/>
      <w:color w:val="000000"/>
      <w:sz w:val="24"/>
      <w:szCs w:val="19"/>
    </w:rPr>
  </w:style>
  <w:style w:styleId="style5" w:type="paragraph">
    <w:name w:val="Encabezado 5"/>
    <w:basedOn w:val="style0"/>
    <w:next w:val="style21"/>
    <w:pPr>
      <w:keepNext/>
      <w:keepLines/>
      <w:numPr>
        <w:ilvl w:val="4"/>
        <w:numId w:val="1"/>
      </w:numPr>
      <w:tabs>
        <w:tab w:leader="none" w:pos="708" w:val="left"/>
      </w:tabs>
      <w:suppressAutoHyphens w:val="true"/>
      <w:spacing w:after="0" w:before="200"/>
      <w:outlineLvl w:val="4"/>
    </w:pPr>
    <w:rPr>
      <w:rFonts w:ascii="Tw Cen MT" w:cs="Tw Cen MT" w:eastAsia="WenQuanYi Micro Hei" w:hAnsi="Tw Cen MT"/>
      <w:b/>
      <w:bCs/>
      <w:color w:val="000000"/>
      <w:sz w:val="19"/>
      <w:szCs w:val="19"/>
    </w:rPr>
  </w:style>
  <w:style w:styleId="style6" w:type="paragraph">
    <w:name w:val="Encabezado 6"/>
    <w:basedOn w:val="style0"/>
    <w:next w:val="style21"/>
    <w:pPr>
      <w:keepNext/>
      <w:keepLines/>
      <w:numPr>
        <w:ilvl w:val="5"/>
        <w:numId w:val="1"/>
      </w:numPr>
      <w:tabs>
        <w:tab w:leader="none" w:pos="708" w:val="left"/>
      </w:tabs>
      <w:suppressAutoHyphens w:val="true"/>
      <w:spacing w:after="0" w:before="200"/>
      <w:outlineLvl w:val="5"/>
    </w:pPr>
    <w:rPr>
      <w:rFonts w:ascii="Tw Cen MT" w:cs="Tw Cen MT" w:eastAsia="WenQuanYi Micro Hei" w:hAnsi="Tw Cen MT"/>
      <w:b/>
      <w:bCs/>
      <w:iCs/>
      <w:color w:val="3891A7"/>
      <w:sz w:val="17"/>
      <w:szCs w:val="17"/>
    </w:rPr>
  </w:style>
  <w:style w:styleId="style7" w:type="paragraph">
    <w:name w:val="Encabezado 7"/>
    <w:basedOn w:val="style0"/>
    <w:next w:val="style21"/>
    <w:pPr>
      <w:keepNext/>
      <w:keepLines/>
      <w:numPr>
        <w:ilvl w:val="6"/>
        <w:numId w:val="1"/>
      </w:numPr>
      <w:tabs>
        <w:tab w:leader="none" w:pos="708" w:val="left"/>
      </w:tabs>
      <w:suppressAutoHyphens w:val="true"/>
      <w:spacing w:after="0" w:before="200"/>
      <w:outlineLvl w:val="6"/>
    </w:pPr>
    <w:rPr>
      <w:rFonts w:ascii="Tw Cen MT" w:cs="Tw Cen MT" w:eastAsia="WenQuanYi Micro Hei" w:hAnsi="Tw Cen MT"/>
      <w:b/>
      <w:bCs/>
      <w:i/>
      <w:iCs/>
      <w:color w:val="000000"/>
      <w:sz w:val="17"/>
      <w:szCs w:val="17"/>
    </w:rPr>
  </w:style>
  <w:style w:styleId="style8" w:type="paragraph">
    <w:name w:val="Encabezado 8"/>
    <w:basedOn w:val="style0"/>
    <w:next w:val="style21"/>
    <w:pPr>
      <w:keepNext/>
      <w:keepLines/>
      <w:numPr>
        <w:ilvl w:val="7"/>
        <w:numId w:val="1"/>
      </w:numPr>
      <w:tabs>
        <w:tab w:leader="none" w:pos="708" w:val="left"/>
      </w:tabs>
      <w:suppressAutoHyphens w:val="true"/>
      <w:spacing w:after="0" w:before="200"/>
      <w:outlineLvl w:val="7"/>
    </w:pPr>
    <w:rPr>
      <w:rFonts w:ascii="Tw Cen MT" w:cs="Tw Cen MT" w:eastAsia="WenQuanYi Micro Hei" w:hAnsi="Tw Cen MT"/>
      <w:b/>
      <w:bCs/>
      <w:color w:val="000000"/>
      <w:sz w:val="20"/>
      <w:szCs w:val="20"/>
    </w:rPr>
  </w:style>
  <w:style w:styleId="style9" w:type="paragraph">
    <w:name w:val="Encabezado 9"/>
    <w:basedOn w:val="style0"/>
    <w:next w:val="style21"/>
    <w:pPr>
      <w:keepNext/>
      <w:keepLines/>
      <w:numPr>
        <w:ilvl w:val="8"/>
        <w:numId w:val="1"/>
      </w:numPr>
      <w:tabs>
        <w:tab w:leader="none" w:pos="708" w:val="left"/>
      </w:tabs>
      <w:suppressAutoHyphens w:val="true"/>
      <w:spacing w:after="0" w:before="200"/>
      <w:outlineLvl w:val="8"/>
    </w:pPr>
    <w:rPr>
      <w:rFonts w:ascii="Tw Cen MT" w:cs="Tw Cen MT" w:eastAsia="WenQuanYi Micro Hei" w:hAnsi="Tw Cen MT"/>
      <w:b/>
      <w:bCs/>
      <w:i/>
      <w:iCs/>
      <w:color w:val="00000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Heading 1 Char"/>
    <w:basedOn w:val="style15"/>
    <w:next w:val="style18"/>
    <w:rPr>
      <w:rFonts w:ascii="Cambria" w:cs="" w:hAnsi="Cambria"/>
      <w:bCs/>
      <w:color w:val="4F81BD"/>
      <w:spacing w:val="20"/>
      <w:sz w:val="32"/>
      <w:szCs w:val="28"/>
    </w:rPr>
  </w:style>
  <w:style w:styleId="style19" w:type="character">
    <w:name w:val="Heading 2 Char"/>
    <w:basedOn w:val="style15"/>
    <w:next w:val="style19"/>
    <w:rPr>
      <w:rFonts w:cs=""/>
      <w:b/>
      <w:bCs/>
      <w:color w:val="4F81BD"/>
      <w:sz w:val="28"/>
      <w:szCs w:val="26"/>
    </w:rPr>
  </w:style>
  <w:style w:styleId="style20" w:type="paragraph">
    <w:name w:val="Encabezado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Cue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Lohit Hindi"/>
    </w:rPr>
  </w:style>
  <w:style w:styleId="style23" w:type="paragraph">
    <w:name w:val="Etiqueta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Lohit Hindi"/>
    </w:rPr>
  </w:style>
  <w:style w:styleId="style25" w:type="paragraph">
    <w:name w:val="Encabezamiento"/>
    <w:basedOn w:val="style0"/>
    <w:next w:val="style25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26" w:type="paragraph">
    <w:name w:val="Pie de página"/>
    <w:basedOn w:val="style0"/>
    <w:next w:val="style26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2014-12-22T01:07:00.00Z</dcterms:created>
  <dc:creator>Bayron Stevenson Rodriguez Feliciano</dc:creator>
  <cp:lastModifiedBy>Astaroth</cp:lastModifiedBy>
  <dcterms:modified xsi:type="dcterms:W3CDTF">2014-12-22T03:59:00.00Z</dcterms:modified>
  <cp:revision>3</cp:revision>
</cp:coreProperties>
</file>