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3CCC" w14:textId="5E0BC14A" w:rsidR="003007CC" w:rsidRPr="00FA7F86" w:rsidRDefault="003007CC" w:rsidP="00FA7F86">
      <w:pPr>
        <w:ind w:left="-1440"/>
        <w:rPr>
          <w:rFonts w:ascii="Calibri" w:hAnsi="Calibri" w:cs="Calibri"/>
        </w:rPr>
      </w:pPr>
    </w:p>
    <w:p w14:paraId="7D1CDDB7" w14:textId="77777777" w:rsidR="00FA7F86" w:rsidRPr="00FA7F86" w:rsidRDefault="00FA7F86">
      <w:pPr>
        <w:rPr>
          <w:rFonts w:ascii="Calibri" w:hAnsi="Calibri" w:cs="Calibri"/>
        </w:rPr>
      </w:pPr>
    </w:p>
    <w:p w14:paraId="7ED6A986" w14:textId="79C2BCBD" w:rsidR="007A50A6" w:rsidRPr="008B627C" w:rsidRDefault="007A50A6" w:rsidP="007A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</w:pPr>
      <w:r w:rsidRPr="008B627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  <w:t>PIT</w:t>
      </w:r>
    </w:p>
    <w:p w14:paraId="7932D37B" w14:textId="2DB11DF2" w:rsidR="00FA7F86" w:rsidRPr="00FA7F86" w:rsidRDefault="00FA7F86" w:rsidP="00FA7F8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>A) Baseline (Current law)</w:t>
      </w:r>
    </w:p>
    <w:p w14:paraId="2DE80BD9" w14:textId="77777777" w:rsidR="00FA7F86" w:rsidRPr="00FA7F86" w:rsidRDefault="00FA7F86" w:rsidP="00FA7F8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>Relief:</w:t>
      </w:r>
      <w:r w:rsidRPr="00FA7F86">
        <w:rPr>
          <w:rFonts w:ascii="Calibri" w:eastAsia="Times New Roman" w:hAnsi="Calibri" w:cs="Calibri"/>
          <w:kern w:val="0"/>
          <w14:ligatures w14:val="none"/>
        </w:rPr>
        <w:t xml:space="preserve"> KES 2,400/month (KES 28,800/year)</w:t>
      </w:r>
      <w:r w:rsidRPr="00FA7F86">
        <w:rPr>
          <w:rFonts w:ascii="Calibri" w:eastAsia="Times New Roman" w:hAnsi="Calibri" w:cs="Calibri"/>
          <w:kern w:val="0"/>
          <w14:ligatures w14:val="none"/>
        </w:rPr>
        <w:br/>
      </w: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>Revenue:</w:t>
      </w:r>
      <w:r w:rsidRPr="00FA7F86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>KES 504.626 bn</w:t>
      </w:r>
      <w:r w:rsidRPr="00FA7F86">
        <w:rPr>
          <w:rFonts w:ascii="Calibri" w:eastAsia="Times New Roman" w:hAnsi="Calibri" w:cs="Calibri"/>
          <w:kern w:val="0"/>
          <w14:ligatures w14:val="none"/>
        </w:rPr>
        <w:t xml:space="preserve"> (Baseline)</w:t>
      </w:r>
    </w:p>
    <w:tbl>
      <w:tblPr>
        <w:tblStyle w:val="GridTable1Light-Accent6"/>
        <w:tblW w:w="9534" w:type="dxa"/>
        <w:tblLook w:val="04A0" w:firstRow="1" w:lastRow="0" w:firstColumn="1" w:lastColumn="0" w:noHBand="0" w:noVBand="1"/>
      </w:tblPr>
      <w:tblGrid>
        <w:gridCol w:w="811"/>
        <w:gridCol w:w="3907"/>
        <w:gridCol w:w="3065"/>
        <w:gridCol w:w="1751"/>
      </w:tblGrid>
      <w:tr w:rsidR="00FA7F86" w:rsidRPr="00FA7F86" w14:paraId="71AEBE36" w14:textId="77777777" w:rsidTr="00FA7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B488B" w14:textId="77777777" w:rsidR="00FA7F86" w:rsidRPr="00FA7F86" w:rsidRDefault="00FA7F86" w:rsidP="00FA7F86">
            <w:pPr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Band</w:t>
            </w:r>
          </w:p>
        </w:tc>
        <w:tc>
          <w:tcPr>
            <w:tcW w:w="0" w:type="auto"/>
            <w:hideMark/>
          </w:tcPr>
          <w:p w14:paraId="43BAC5A0" w14:textId="77777777" w:rsidR="00FA7F86" w:rsidRPr="00FA7F86" w:rsidRDefault="00FA7F86" w:rsidP="00FA7F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Annual taxable band (KES)</w:t>
            </w:r>
          </w:p>
        </w:tc>
        <w:tc>
          <w:tcPr>
            <w:tcW w:w="0" w:type="auto"/>
            <w:hideMark/>
          </w:tcPr>
          <w:p w14:paraId="6F3C6FC0" w14:textId="77777777" w:rsidR="00FA7F86" w:rsidRPr="00FA7F86" w:rsidRDefault="00FA7F86" w:rsidP="00FA7F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Monthly equivalent (KES)</w:t>
            </w:r>
          </w:p>
        </w:tc>
        <w:tc>
          <w:tcPr>
            <w:tcW w:w="0" w:type="auto"/>
            <w:hideMark/>
          </w:tcPr>
          <w:p w14:paraId="7C9816C7" w14:textId="77777777" w:rsidR="00FA7F86" w:rsidRPr="00FA7F86" w:rsidRDefault="00FA7F86" w:rsidP="00FA7F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Marginal rate</w:t>
            </w:r>
          </w:p>
        </w:tc>
      </w:tr>
      <w:tr w:rsidR="00FA7F86" w:rsidRPr="00FA7F86" w14:paraId="7B17A0FA" w14:textId="77777777" w:rsidTr="00FA7F8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40970" w14:textId="77777777" w:rsidR="00FA7F86" w:rsidRPr="00FA7F86" w:rsidRDefault="00FA7F86" w:rsidP="00FA7F8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AAF637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0 – 288,000</w:t>
            </w:r>
          </w:p>
        </w:tc>
        <w:tc>
          <w:tcPr>
            <w:tcW w:w="0" w:type="auto"/>
            <w:hideMark/>
          </w:tcPr>
          <w:p w14:paraId="37B45E5E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0 – 24,000</w:t>
            </w:r>
          </w:p>
        </w:tc>
        <w:tc>
          <w:tcPr>
            <w:tcW w:w="0" w:type="auto"/>
            <w:hideMark/>
          </w:tcPr>
          <w:p w14:paraId="1D951371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F86" w:rsidRPr="00FA7F86" w14:paraId="644148A5" w14:textId="77777777" w:rsidTr="00FA7F86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7893C" w14:textId="77777777" w:rsidR="00FA7F86" w:rsidRPr="00FA7F86" w:rsidRDefault="00FA7F86" w:rsidP="00FA7F8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EA8AAB8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288,001 – 387,996 (width 99,996)</w:t>
            </w:r>
          </w:p>
        </w:tc>
        <w:tc>
          <w:tcPr>
            <w:tcW w:w="0" w:type="auto"/>
            <w:hideMark/>
          </w:tcPr>
          <w:p w14:paraId="57AA5293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24,001 – 32,333</w:t>
            </w:r>
          </w:p>
        </w:tc>
        <w:tc>
          <w:tcPr>
            <w:tcW w:w="0" w:type="auto"/>
            <w:hideMark/>
          </w:tcPr>
          <w:p w14:paraId="3C2EA373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25%</w:t>
            </w:r>
          </w:p>
        </w:tc>
      </w:tr>
      <w:tr w:rsidR="00FA7F86" w:rsidRPr="00FA7F86" w14:paraId="564C113C" w14:textId="77777777" w:rsidTr="00FA7F8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CC1ED" w14:textId="77777777" w:rsidR="00FA7F86" w:rsidRPr="00FA7F86" w:rsidRDefault="00FA7F86" w:rsidP="00FA7F8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DF86EBA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387,997 – 6,000,000</w:t>
            </w:r>
          </w:p>
        </w:tc>
        <w:tc>
          <w:tcPr>
            <w:tcW w:w="0" w:type="auto"/>
            <w:hideMark/>
          </w:tcPr>
          <w:p w14:paraId="2EBC8FF1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32,334 – 500,000</w:t>
            </w:r>
          </w:p>
        </w:tc>
        <w:tc>
          <w:tcPr>
            <w:tcW w:w="0" w:type="auto"/>
            <w:hideMark/>
          </w:tcPr>
          <w:p w14:paraId="12EAD723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30%</w:t>
            </w:r>
          </w:p>
        </w:tc>
      </w:tr>
      <w:tr w:rsidR="00FA7F86" w:rsidRPr="00FA7F86" w14:paraId="49544451" w14:textId="77777777" w:rsidTr="00FA7F86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E1B7D" w14:textId="77777777" w:rsidR="00FA7F86" w:rsidRPr="00FA7F86" w:rsidRDefault="00FA7F86" w:rsidP="00FA7F8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CB16B71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6,000,001 – 9,600,000</w:t>
            </w:r>
          </w:p>
        </w:tc>
        <w:tc>
          <w:tcPr>
            <w:tcW w:w="0" w:type="auto"/>
            <w:hideMark/>
          </w:tcPr>
          <w:p w14:paraId="4D73B082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500,001 – 800,000</w:t>
            </w:r>
          </w:p>
        </w:tc>
        <w:tc>
          <w:tcPr>
            <w:tcW w:w="0" w:type="auto"/>
            <w:hideMark/>
          </w:tcPr>
          <w:p w14:paraId="6A4738A0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32.5%</w:t>
            </w:r>
          </w:p>
        </w:tc>
      </w:tr>
      <w:tr w:rsidR="00FA7F86" w:rsidRPr="00FA7F86" w14:paraId="1346FD45" w14:textId="77777777" w:rsidTr="00FA7F8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DAA5F" w14:textId="77777777" w:rsidR="00FA7F86" w:rsidRPr="00FA7F86" w:rsidRDefault="00FA7F86" w:rsidP="00FA7F8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D0DDB46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&gt; 9,600,000</w:t>
            </w:r>
          </w:p>
        </w:tc>
        <w:tc>
          <w:tcPr>
            <w:tcW w:w="0" w:type="auto"/>
            <w:hideMark/>
          </w:tcPr>
          <w:p w14:paraId="07A1E154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&gt; 800,000</w:t>
            </w:r>
          </w:p>
        </w:tc>
        <w:tc>
          <w:tcPr>
            <w:tcW w:w="0" w:type="auto"/>
            <w:hideMark/>
          </w:tcPr>
          <w:p w14:paraId="684DFF46" w14:textId="77777777" w:rsidR="00FA7F86" w:rsidRPr="00FA7F86" w:rsidRDefault="00FA7F86" w:rsidP="00FA7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A7F86">
              <w:rPr>
                <w:rFonts w:ascii="Calibri" w:eastAsia="Times New Roman" w:hAnsi="Calibri" w:cs="Calibri"/>
                <w:kern w:val="0"/>
                <w14:ligatures w14:val="none"/>
              </w:rPr>
              <w:t>35%</w:t>
            </w:r>
          </w:p>
        </w:tc>
      </w:tr>
    </w:tbl>
    <w:p w14:paraId="256EF591" w14:textId="0307F2FF" w:rsidR="00FA7F86" w:rsidRPr="00FA7F86" w:rsidRDefault="00FA7F86" w:rsidP="00FA7F86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CCF89AD" w14:textId="6671B920" w:rsidR="00FA7F86" w:rsidRPr="00FA7F86" w:rsidRDefault="00FA7F86" w:rsidP="00FA7F8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B) Scenario Set 1: Relief unchanged, reduce Band 2 rate 25% → 20% </w:t>
      </w:r>
    </w:p>
    <w:p w14:paraId="4F1FE536" w14:textId="3007FDC8" w:rsidR="00FA7F86" w:rsidRPr="00FA7F86" w:rsidRDefault="00FA7F86" w:rsidP="00FA7F8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C) </w:t>
      </w:r>
      <w:proofErr w:type="spellStart"/>
      <w:r w:rsidR="0022341F">
        <w:rPr>
          <w:rFonts w:ascii="Calibri" w:eastAsia="Times New Roman" w:hAnsi="Calibri" w:cs="Calibri"/>
          <w:b/>
          <w:bCs/>
          <w:kern w:val="0"/>
          <w14:ligatures w14:val="none"/>
        </w:rPr>
        <w:t>i</w:t>
      </w:r>
      <w:proofErr w:type="spellEnd"/>
      <w:r w:rsidR="0022341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. </w:t>
      </w: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Scenario Set 2: Relief unchanged, set Band 2 rate to 20%, and vary Band 2 width </w:t>
      </w:r>
      <w:r w:rsidR="009146CF">
        <w:rPr>
          <w:rFonts w:ascii="Calibri" w:eastAsia="Times New Roman" w:hAnsi="Calibri" w:cs="Calibri"/>
          <w:b/>
          <w:bCs/>
          <w:kern w:val="0"/>
          <w14:ligatures w14:val="none"/>
        </w:rPr>
        <w:t>to 60000</w:t>
      </w:r>
    </w:p>
    <w:p w14:paraId="15A91D24" w14:textId="77777777" w:rsidR="00FA7F86" w:rsidRPr="00FA7F86" w:rsidRDefault="00FA7F86" w:rsidP="00FA7F8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>Relief:</w:t>
      </w:r>
      <w:r w:rsidRPr="00FA7F86">
        <w:rPr>
          <w:rFonts w:ascii="Calibri" w:eastAsia="Times New Roman" w:hAnsi="Calibri" w:cs="Calibri"/>
          <w:kern w:val="0"/>
          <w14:ligatures w14:val="none"/>
        </w:rPr>
        <w:t xml:space="preserve"> KES 2,400/month (KES 28,800/year)</w:t>
      </w:r>
    </w:p>
    <w:p w14:paraId="13CF9D5C" w14:textId="77777777" w:rsidR="00FA7F86" w:rsidRPr="00C36820" w:rsidRDefault="00FA7F86" w:rsidP="00FA7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A7F86">
        <w:rPr>
          <w:rFonts w:ascii="Calibri" w:eastAsia="Times New Roman" w:hAnsi="Calibri" w:cs="Calibri"/>
          <w:kern w:val="0"/>
          <w14:ligatures w14:val="none"/>
        </w:rPr>
        <w:t xml:space="preserve">Band 1 remains: </w:t>
      </w:r>
      <w:r w:rsidRPr="00C36820">
        <w:rPr>
          <w:rFonts w:ascii="Calibri" w:eastAsia="Times New Roman" w:hAnsi="Calibri" w:cs="Calibri"/>
          <w:kern w:val="0"/>
          <w14:ligatures w14:val="none"/>
        </w:rPr>
        <w:t>0–288,000 @ 10%</w:t>
      </w:r>
    </w:p>
    <w:p w14:paraId="1ED49D81" w14:textId="77777777" w:rsidR="00FA7F86" w:rsidRPr="00C36820" w:rsidRDefault="00FA7F86" w:rsidP="00FA7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36820">
        <w:rPr>
          <w:rFonts w:ascii="Calibri" w:eastAsia="Times New Roman" w:hAnsi="Calibri" w:cs="Calibri"/>
          <w:kern w:val="0"/>
          <w14:ligatures w14:val="none"/>
        </w:rPr>
        <w:t>Band 2 rate: 20%</w:t>
      </w:r>
    </w:p>
    <w:p w14:paraId="06CAC806" w14:textId="2CDB9AF3" w:rsidR="00FA7F86" w:rsidRPr="00C36820" w:rsidRDefault="00FA7F86" w:rsidP="00FA7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A7F86">
        <w:rPr>
          <w:rFonts w:ascii="Calibri" w:eastAsia="Times New Roman" w:hAnsi="Calibri" w:cs="Calibri"/>
          <w:kern w:val="0"/>
          <w14:ligatures w14:val="none"/>
        </w:rPr>
        <w:t xml:space="preserve">Bands 3–5 rates and top thresholds remain unchanged </w:t>
      </w:r>
      <w:r w:rsidRPr="00C36820">
        <w:rPr>
          <w:rFonts w:ascii="Calibri" w:eastAsia="Times New Roman" w:hAnsi="Calibri" w:cs="Calibri"/>
          <w:kern w:val="0"/>
          <w14:ligatures w14:val="none"/>
        </w:rPr>
        <w:t>(30%, 32.5%, 35%; 6m and 9.6m)</w:t>
      </w:r>
    </w:p>
    <w:p w14:paraId="2C6838F7" w14:textId="64FD8E7B" w:rsidR="00FA7F86" w:rsidRPr="00FA7F86" w:rsidRDefault="0022341F" w:rsidP="00FA7F8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ii. </w:t>
      </w:r>
      <w:r w:rsidR="00FA7F86" w:rsidRPr="00FA7F86">
        <w:rPr>
          <w:rFonts w:ascii="Calibri" w:eastAsia="Times New Roman" w:hAnsi="Calibri" w:cs="Calibri"/>
          <w:b/>
          <w:bCs/>
          <w:kern w:val="0"/>
          <w14:ligatures w14:val="none"/>
        </w:rPr>
        <w:t>S2-60</w:t>
      </w:r>
      <w:r w:rsidR="00FA7F86">
        <w:rPr>
          <w:rFonts w:ascii="Calibri" w:eastAsia="Times New Roman" w:hAnsi="Calibri" w:cs="Calibri"/>
          <w:b/>
          <w:bCs/>
          <w:kern w:val="0"/>
          <w14:ligatures w14:val="none"/>
        </w:rPr>
        <w:t>k</w:t>
      </w:r>
      <w:r w:rsidR="00FA7F86" w:rsidRPr="00FA7F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— Band 2 width = 60,000</w:t>
      </w:r>
    </w:p>
    <w:p w14:paraId="51C90253" w14:textId="45019AB0" w:rsidR="00FA7F86" w:rsidRPr="00FA7F86" w:rsidRDefault="00D952E0" w:rsidP="00FA7F8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iii. </w:t>
      </w:r>
      <w:r w:rsidR="00FA7F86" w:rsidRPr="00FA7F86">
        <w:rPr>
          <w:rFonts w:ascii="Calibri" w:eastAsia="Times New Roman" w:hAnsi="Calibri" w:cs="Calibri"/>
          <w:b/>
          <w:bCs/>
          <w:kern w:val="0"/>
          <w14:ligatures w14:val="none"/>
        </w:rPr>
        <w:t>S2-240</w:t>
      </w:r>
      <w:r w:rsidR="00FA7F86">
        <w:rPr>
          <w:rFonts w:ascii="Calibri" w:eastAsia="Times New Roman" w:hAnsi="Calibri" w:cs="Calibri"/>
          <w:b/>
          <w:bCs/>
          <w:kern w:val="0"/>
          <w14:ligatures w14:val="none"/>
        </w:rPr>
        <w:t>k</w:t>
      </w:r>
      <w:r w:rsidR="00FA7F86" w:rsidRPr="00FA7F86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— Band 2 width = 240,000</w:t>
      </w:r>
    </w:p>
    <w:p w14:paraId="7035F4C3" w14:textId="77777777" w:rsidR="00FA7F86" w:rsidRPr="00FA7F86" w:rsidRDefault="00FA7F86" w:rsidP="00B605AE">
      <w:pPr>
        <w:spacing w:before="100" w:beforeAutospacing="1"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>D) Scenario Set 3: Repeat all above with higher relief (PS Scenario 3)</w:t>
      </w:r>
    </w:p>
    <w:p w14:paraId="60FBC37D" w14:textId="77777777" w:rsidR="00FA7F86" w:rsidRPr="00FA7F86" w:rsidRDefault="00FA7F86" w:rsidP="00B605A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A7F86">
        <w:rPr>
          <w:rFonts w:ascii="Calibri" w:eastAsia="Times New Roman" w:hAnsi="Calibri" w:cs="Calibri"/>
          <w:kern w:val="0"/>
          <w14:ligatures w14:val="none"/>
        </w:rPr>
        <w:t>Everything in B and C stays the same except relief increases:</w:t>
      </w:r>
    </w:p>
    <w:p w14:paraId="01E80513" w14:textId="77777777" w:rsidR="006605C6" w:rsidRDefault="00FA7F86" w:rsidP="00B605AE">
      <w:pPr>
        <w:spacing w:after="0" w:line="240" w:lineRule="auto"/>
        <w:rPr>
          <w:rFonts w:ascii="Calibri" w:eastAsia="Times New Roman" w:hAnsi="Calibri" w:cs="Calibri"/>
          <w:color w:val="FF0000"/>
          <w:kern w:val="0"/>
          <w14:ligatures w14:val="none"/>
        </w:rPr>
      </w:pPr>
      <w:r w:rsidRPr="00FA7F86">
        <w:rPr>
          <w:rFonts w:ascii="Calibri" w:eastAsia="Times New Roman" w:hAnsi="Calibri" w:cs="Calibri"/>
          <w:b/>
          <w:bCs/>
          <w:kern w:val="0"/>
          <w14:ligatures w14:val="none"/>
        </w:rPr>
        <w:t>Relief:</w:t>
      </w:r>
      <w:r w:rsidRPr="00FA7F86">
        <w:rPr>
          <w:rFonts w:ascii="Calibri" w:eastAsia="Times New Roman" w:hAnsi="Calibri" w:cs="Calibri"/>
          <w:kern w:val="0"/>
          <w14:ligatures w14:val="none"/>
        </w:rPr>
        <w:t xml:space="preserve"> KES 3,000/month (KES 36,000/year)</w:t>
      </w:r>
      <w:r w:rsidR="006605C6" w:rsidRPr="006605C6">
        <w:rPr>
          <w:rFonts w:ascii="Calibri" w:eastAsia="Times New Roman" w:hAnsi="Calibri" w:cs="Calibri"/>
          <w:color w:val="FF0000"/>
          <w:kern w:val="0"/>
          <w14:ligatures w14:val="none"/>
        </w:rPr>
        <w:t xml:space="preserve"> </w:t>
      </w:r>
    </w:p>
    <w:p w14:paraId="413B93E1" w14:textId="77777777" w:rsidR="006605C6" w:rsidRDefault="006605C6" w:rsidP="006605C6">
      <w:pPr>
        <w:spacing w:after="0" w:line="240" w:lineRule="auto"/>
        <w:rPr>
          <w:rFonts w:ascii="Calibri" w:eastAsia="Times New Roman" w:hAnsi="Calibri" w:cs="Calibri"/>
          <w:color w:val="FF0000"/>
          <w:kern w:val="0"/>
          <w14:ligatures w14:val="none"/>
        </w:rPr>
      </w:pPr>
    </w:p>
    <w:p w14:paraId="370248D7" w14:textId="39DD9DE2" w:rsidR="006605C6" w:rsidRPr="00117292" w:rsidRDefault="009B62A4" w:rsidP="006605C6">
      <w:pPr>
        <w:spacing w:after="0" w:line="240" w:lineRule="auto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  <w:r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T</w:t>
      </w:r>
      <w:r w:rsidR="00D95ACB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his </w:t>
      </w:r>
      <w:proofErr w:type="gramStart"/>
      <w:r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mission 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we</w:t>
      </w:r>
      <w:proofErr w:type="gramEnd"/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 could </w:t>
      </w:r>
      <w:r w:rsidR="00450C55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simulate 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scenarios B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,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 C 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and D 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using a reform file instead of simulating each scenario separately, </w:t>
      </w:r>
      <w:proofErr w:type="gramStart"/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right</w:t>
      </w:r>
      <w:r w:rsidR="00450C55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?;</w:t>
      </w:r>
      <w:proofErr w:type="gramEnd"/>
      <w:r w:rsidR="00450C55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 but the 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update</w:t>
      </w:r>
      <w:r w:rsidR="00450C55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>d</w:t>
      </w:r>
      <w:r w:rsidR="006605C6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 database</w:t>
      </w:r>
      <w:r w:rsidR="00450C55" w:rsidRPr="00117292">
        <w:rPr>
          <w:rFonts w:ascii="Calibri" w:eastAsia="Times New Roman" w:hAnsi="Calibri" w:cs="Calibri"/>
          <w:b/>
          <w:bCs/>
          <w:color w:val="0070C0"/>
          <w:kern w:val="0"/>
          <w:highlight w:val="yellow"/>
          <w14:ligatures w14:val="none"/>
        </w:rPr>
        <w:t xml:space="preserve"> if they want 2024 data.</w:t>
      </w:r>
    </w:p>
    <w:p w14:paraId="69FF1388" w14:textId="45E813A7" w:rsidR="003F66A1" w:rsidRPr="002976FC" w:rsidRDefault="002976FC" w:rsidP="00FA7F8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EE0000"/>
          <w:kern w:val="0"/>
          <w14:ligatures w14:val="none"/>
        </w:rPr>
      </w:pPr>
      <w:r w:rsidRPr="002976FC">
        <w:rPr>
          <w:rFonts w:ascii="Calibri" w:eastAsia="Times New Roman" w:hAnsi="Calibri" w:cs="Calibri"/>
          <w:b/>
          <w:bCs/>
          <w:color w:val="EE0000"/>
          <w:kern w:val="0"/>
          <w14:ligatures w14:val="none"/>
        </w:rPr>
        <w:t xml:space="preserve">Additional proposals </w:t>
      </w:r>
    </w:p>
    <w:p w14:paraId="6BA7E21D" w14:textId="77777777" w:rsidR="003F66A1" w:rsidRPr="00450C55" w:rsidRDefault="003F66A1" w:rsidP="003F6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Pension Contributions</w:t>
      </w:r>
      <w:r w:rsidRPr="00D37957">
        <w:rPr>
          <w:rFonts w:ascii="Times New Roman" w:eastAsia="Times New Roman" w:hAnsi="Times New Roman" w:cs="Times New Roman"/>
          <w:lang w:eastAsia="en-GB"/>
        </w:rPr>
        <w:br/>
        <w:t xml:space="preserve">Increase in the allowable deduction for contributions to a registered pension scheme from </w:t>
      </w:r>
      <w:proofErr w:type="spellStart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 xml:space="preserve"> 240,000 to </w:t>
      </w:r>
      <w:proofErr w:type="spellStart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 xml:space="preserve"> 360,000 per annum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 (equivalent to </w:t>
      </w:r>
      <w:proofErr w:type="spellStart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 xml:space="preserve"> 20,000 to </w:t>
      </w:r>
      <w:proofErr w:type="spellStart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 xml:space="preserve"> 30,000 per month</w:t>
      </w:r>
      <w:proofErr w:type="gramStart"/>
      <w:r w:rsidRPr="00D37957">
        <w:rPr>
          <w:rFonts w:ascii="Times New Roman" w:eastAsia="Times New Roman" w:hAnsi="Times New Roman" w:cs="Times New Roman"/>
          <w:lang w:eastAsia="en-GB"/>
        </w:rPr>
        <w:t>).</w:t>
      </w:r>
      <w:r w:rsidRPr="00AA3460">
        <w:rPr>
          <w:rFonts w:ascii="Times New Roman" w:eastAsia="Times New Roman" w:hAnsi="Times New Roman" w:cs="Times New Roman"/>
          <w:i/>
          <w:iCs/>
          <w:lang w:eastAsia="en-GB"/>
        </w:rPr>
        <w:t>Source</w:t>
      </w:r>
      <w:proofErr w:type="gramEnd"/>
      <w:r w:rsidRPr="00AA3460">
        <w:rPr>
          <w:rFonts w:ascii="Times New Roman" w:eastAsia="Times New Roman" w:hAnsi="Times New Roman" w:cs="Times New Roman"/>
          <w:i/>
          <w:iCs/>
          <w:lang w:eastAsia="en-GB"/>
        </w:rPr>
        <w:t>: Tax Laws (Amendment) Bill, 2024</w:t>
      </w:r>
    </w:p>
    <w:p w14:paraId="1EC76B89" w14:textId="64D4C68D" w:rsidR="00450C55" w:rsidRPr="00117292" w:rsidRDefault="00450C55" w:rsidP="00117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</w:pPr>
      <w:r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>We could simulate</w:t>
      </w:r>
    </w:p>
    <w:p w14:paraId="03E2C6F0" w14:textId="46739F59" w:rsidR="00450C55" w:rsidRPr="00D37957" w:rsidRDefault="003F66A1" w:rsidP="00450C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GB"/>
        </w:rPr>
      </w:pPr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Post-Retirement Medical Fund Contributions</w:t>
      </w:r>
      <w:r w:rsidRPr="00D37957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D37957">
        <w:rPr>
          <w:rFonts w:ascii="Times New Roman" w:eastAsia="Times New Roman" w:hAnsi="Times New Roman" w:cs="Times New Roman"/>
          <w:lang w:eastAsia="en-GB"/>
        </w:rPr>
        <w:t>Contributions</w:t>
      </w:r>
      <w:proofErr w:type="spellEnd"/>
      <w:r w:rsidRPr="00D37957">
        <w:rPr>
          <w:rFonts w:ascii="Times New Roman" w:eastAsia="Times New Roman" w:hAnsi="Times New Roman" w:cs="Times New Roman"/>
          <w:lang w:eastAsia="en-GB"/>
        </w:rPr>
        <w:t xml:space="preserve"> to a </w:t>
      </w:r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post-retirement medical fund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 to be deductible up to </w:t>
      </w:r>
      <w:proofErr w:type="spellStart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 xml:space="preserve"> 15,000 per month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, replacing the relief previously provided under </w:t>
      </w:r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Section 31A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 of the Income Tax Act.</w:t>
      </w:r>
      <w:r w:rsidRPr="00D37957">
        <w:rPr>
          <w:rFonts w:ascii="Times New Roman" w:eastAsia="Times New Roman" w:hAnsi="Times New Roman" w:cs="Times New Roman"/>
          <w:lang w:eastAsia="en-GB"/>
        </w:rPr>
        <w:br/>
      </w:r>
      <w:r w:rsidR="00450C55"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>We could simulate</w:t>
      </w:r>
    </w:p>
    <w:p w14:paraId="188CE14B" w14:textId="77777777" w:rsidR="003F66A1" w:rsidRPr="00450C55" w:rsidRDefault="003F66A1" w:rsidP="003F6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Mortgage Interest Relief</w:t>
      </w:r>
      <w:r w:rsidRPr="00D37957">
        <w:rPr>
          <w:rFonts w:ascii="Times New Roman" w:eastAsia="Times New Roman" w:hAnsi="Times New Roman" w:cs="Times New Roman"/>
          <w:lang w:eastAsia="en-GB"/>
        </w:rPr>
        <w:br/>
        <w:t xml:space="preserve">Increase in </w:t>
      </w:r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individual mortgage interest relief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 from </w:t>
      </w:r>
      <w:proofErr w:type="spellStart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 xml:space="preserve"> 300,000 to </w:t>
      </w:r>
      <w:proofErr w:type="spellStart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 xml:space="preserve"> 360,000 per year</w:t>
      </w:r>
      <w:r w:rsidRPr="00D37957">
        <w:rPr>
          <w:rFonts w:ascii="Times New Roman" w:eastAsia="Times New Roman" w:hAnsi="Times New Roman" w:cs="Times New Roman"/>
          <w:lang w:eastAsia="en-GB"/>
        </w:rPr>
        <w:t>.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A3460">
        <w:rPr>
          <w:rFonts w:ascii="Times New Roman" w:eastAsia="Times New Roman" w:hAnsi="Times New Roman" w:cs="Times New Roman"/>
          <w:i/>
          <w:iCs/>
          <w:lang w:eastAsia="en-GB"/>
        </w:rPr>
        <w:t>Source: Tax Laws (Amendment) Bill, 2024</w:t>
      </w:r>
    </w:p>
    <w:p w14:paraId="105C62F0" w14:textId="24BBB8BB" w:rsidR="00450C55" w:rsidRPr="00117292" w:rsidRDefault="00450C55" w:rsidP="00117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</w:pPr>
      <w:r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 xml:space="preserve">We could simulate </w:t>
      </w:r>
      <w:r w:rsidR="004D5D94"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>(if data in the database)</w:t>
      </w:r>
    </w:p>
    <w:p w14:paraId="6FABA81A" w14:textId="77777777" w:rsidR="003F66A1" w:rsidRDefault="003F66A1" w:rsidP="003F6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AA3460">
        <w:rPr>
          <w:rFonts w:ascii="Times New Roman" w:eastAsia="Times New Roman" w:hAnsi="Times New Roman" w:cs="Times New Roman"/>
          <w:b/>
          <w:bCs/>
          <w:lang w:eastAsia="en-GB"/>
        </w:rPr>
        <w:t>PAYE Tax Bands and Rates</w:t>
      </w:r>
      <w:r w:rsidRPr="00D37957">
        <w:rPr>
          <w:rFonts w:ascii="Times New Roman" w:eastAsia="Times New Roman" w:hAnsi="Times New Roman" w:cs="Times New Roman"/>
          <w:lang w:eastAsia="en-GB"/>
        </w:rPr>
        <w:br/>
        <w:t xml:space="preserve">The PAYE structure introduces additional higher-income tax brackets. Under the revised structure, income is taxed at </w:t>
      </w:r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10% on the first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288,000 per year, 15% on the next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216,000, 20% on the next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216,000, 25% on the next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360,000, 30% on the next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8,520,000, 32.5% on the next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2,400,000, and 35% on income above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12,000,000 annually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. </w:t>
      </w:r>
    </w:p>
    <w:p w14:paraId="47FF0DA8" w14:textId="6824459B" w:rsidR="00450C55" w:rsidRPr="00117292" w:rsidRDefault="00450C55" w:rsidP="00450C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lang w:eastAsia="en-GB"/>
        </w:rPr>
      </w:pPr>
      <w:r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>W</w:t>
      </w:r>
      <w:r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>e</w:t>
      </w:r>
      <w:r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 xml:space="preserve"> could simulate </w:t>
      </w:r>
      <w:r w:rsidR="00640E01"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 xml:space="preserve">- combine with </w:t>
      </w:r>
      <w:r w:rsidR="001C3573"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 xml:space="preserve">simulation of </w:t>
      </w:r>
      <w:r w:rsidR="00640E01"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>Scenarios B,</w:t>
      </w:r>
      <w:r w:rsidR="001C3573"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 xml:space="preserve"> </w:t>
      </w:r>
      <w:r w:rsidR="00640E01" w:rsidRPr="00117292">
        <w:rPr>
          <w:rFonts w:ascii="Times New Roman" w:eastAsia="Times New Roman" w:hAnsi="Times New Roman" w:cs="Times New Roman"/>
          <w:b/>
          <w:bCs/>
          <w:color w:val="0070C0"/>
          <w:highlight w:val="yellow"/>
          <w:lang w:eastAsia="en-GB"/>
        </w:rPr>
        <w:t>C and D</w:t>
      </w:r>
    </w:p>
    <w:p w14:paraId="275CCD95" w14:textId="77777777" w:rsidR="003F66A1" w:rsidRDefault="003F66A1" w:rsidP="003F6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D37957">
        <w:rPr>
          <w:rFonts w:ascii="Times New Roman" w:eastAsia="Times New Roman" w:hAnsi="Times New Roman" w:cs="Times New Roman"/>
          <w:lang w:eastAsia="en-GB"/>
        </w:rPr>
        <w:t xml:space="preserve">In addition, the </w:t>
      </w:r>
      <w:r w:rsidRPr="00AA3460">
        <w:rPr>
          <w:rFonts w:ascii="Times New Roman" w:eastAsia="Times New Roman" w:hAnsi="Times New Roman" w:cs="Times New Roman"/>
          <w:bCs/>
          <w:lang w:eastAsia="en-GB"/>
        </w:rPr>
        <w:t>Finance Act 2023 introduced two higher monthly PAYE bands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, where income between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500,000 and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800,000 per month is taxed at 32.5%</w:t>
      </w:r>
      <w:r w:rsidRPr="00D37957">
        <w:rPr>
          <w:rFonts w:ascii="Times New Roman" w:eastAsia="Times New Roman" w:hAnsi="Times New Roman" w:cs="Times New Roman"/>
          <w:lang w:eastAsia="en-GB"/>
        </w:rPr>
        <w:t xml:space="preserve">, while income </w:t>
      </w:r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above </w:t>
      </w:r>
      <w:proofErr w:type="spellStart"/>
      <w:r w:rsidRPr="00AA3460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AA3460">
        <w:rPr>
          <w:rFonts w:ascii="Times New Roman" w:eastAsia="Times New Roman" w:hAnsi="Times New Roman" w:cs="Times New Roman"/>
          <w:bCs/>
          <w:lang w:eastAsia="en-GB"/>
        </w:rPr>
        <w:t xml:space="preserve"> 800,000 per month is taxed at 35%</w:t>
      </w:r>
      <w:r w:rsidRPr="00D37957">
        <w:rPr>
          <w:rFonts w:ascii="Times New Roman" w:eastAsia="Times New Roman" w:hAnsi="Times New Roman" w:cs="Times New Roman"/>
          <w:lang w:eastAsia="en-GB"/>
        </w:rPr>
        <w:t>.</w:t>
      </w:r>
    </w:p>
    <w:p w14:paraId="558CAF01" w14:textId="2CEE2356" w:rsidR="0063634A" w:rsidRPr="00E52DF4" w:rsidRDefault="00043360" w:rsidP="006363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70C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70C0"/>
          <w:lang w:eastAsia="en-GB"/>
        </w:rPr>
        <w:t>Seb?</w:t>
      </w:r>
      <w:r w:rsidR="006B0B5B">
        <w:rPr>
          <w:rFonts w:ascii="Times New Roman" w:eastAsia="Times New Roman" w:hAnsi="Times New Roman" w:cs="Times New Roman"/>
          <w:b/>
          <w:bCs/>
          <w:color w:val="0070C0"/>
          <w:lang w:eastAsia="en-GB"/>
        </w:rPr>
        <w:t xml:space="preserve"> We will need a different model</w:t>
      </w:r>
      <w:r w:rsidR="005A776C">
        <w:rPr>
          <w:rFonts w:ascii="Times New Roman" w:eastAsia="Times New Roman" w:hAnsi="Times New Roman" w:cs="Times New Roman"/>
          <w:b/>
          <w:bCs/>
          <w:color w:val="0070C0"/>
          <w:lang w:eastAsia="en-GB"/>
        </w:rPr>
        <w:t xml:space="preserve">, </w:t>
      </w:r>
      <w:r w:rsidR="006B0B5B">
        <w:rPr>
          <w:rFonts w:ascii="Times New Roman" w:eastAsia="Times New Roman" w:hAnsi="Times New Roman" w:cs="Times New Roman"/>
          <w:b/>
          <w:bCs/>
          <w:color w:val="0070C0"/>
          <w:lang w:eastAsia="en-GB"/>
        </w:rPr>
        <w:t>right?</w:t>
      </w:r>
      <w:r w:rsidR="005A776C">
        <w:rPr>
          <w:rFonts w:ascii="Times New Roman" w:eastAsia="Times New Roman" w:hAnsi="Times New Roman" w:cs="Times New Roman"/>
          <w:b/>
          <w:bCs/>
          <w:color w:val="0070C0"/>
          <w:lang w:eastAsia="en-GB"/>
        </w:rPr>
        <w:t xml:space="preserve"> I guess they would like to see the cash flow here.</w:t>
      </w:r>
    </w:p>
    <w:p w14:paraId="15FE853A" w14:textId="68425A5B" w:rsidR="00D17487" w:rsidRPr="008B627C" w:rsidRDefault="00D17487" w:rsidP="00D1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</w:pPr>
      <w:r w:rsidRPr="008B627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  <w:t>Corporate Income Tax (CIT) Proposals</w:t>
      </w:r>
    </w:p>
    <w:p w14:paraId="47AE4C72" w14:textId="4D16291F" w:rsidR="001F4B2D" w:rsidRPr="001F4B2D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Removal of Preferential Housing Tax Rate</w:t>
      </w:r>
      <w:r w:rsidR="001B5D11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DD2F56">
        <w:rPr>
          <w:rFonts w:ascii="Times New Roman" w:eastAsia="Times New Roman" w:hAnsi="Times New Roman" w:cs="Times New Roman"/>
          <w:b/>
          <w:color w:val="0070C0"/>
          <w:lang w:eastAsia="en-GB"/>
        </w:rPr>
        <w:t xml:space="preserve">- </w:t>
      </w:r>
      <w:r w:rsidR="001B5D11" w:rsidRPr="00DD2F56">
        <w:rPr>
          <w:rFonts w:ascii="Times New Roman" w:eastAsia="Times New Roman" w:hAnsi="Times New Roman" w:cs="Times New Roman"/>
          <w:b/>
          <w:color w:val="0070C0"/>
          <w:lang w:eastAsia="en-GB"/>
        </w:rPr>
        <w:t>will need the income for each income source, not currently in the database</w:t>
      </w:r>
      <w:r w:rsidRPr="00DD2F56">
        <w:rPr>
          <w:rFonts w:ascii="Times New Roman" w:eastAsia="Times New Roman" w:hAnsi="Times New Roman" w:cs="Times New Roman"/>
          <w:b/>
          <w:color w:val="0070C0"/>
          <w:lang w:eastAsia="en-GB"/>
        </w:rPr>
        <w:br/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Proposal to remove the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15% preferential corporate tax rate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previously granted to developers constructing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at least 400 residential housing units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Bill, 2024</w:t>
      </w:r>
    </w:p>
    <w:p w14:paraId="09F6E8CE" w14:textId="670EF39A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Foreign Exchange Loss Carry-Forward</w:t>
      </w:r>
      <w:r w:rsidR="00DD2F56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074986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- will need additional data</w:t>
      </w:r>
      <w:r w:rsidRPr="0056561F">
        <w:rPr>
          <w:rFonts w:ascii="Times New Roman" w:eastAsia="Times New Roman" w:hAnsi="Times New Roman" w:cs="Times New Roman"/>
          <w:lang w:eastAsia="en-GB"/>
        </w:rPr>
        <w:br/>
        <w:t xml:space="preserve">Amendment to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Section 4A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to reduce the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carry-forward period for realized foreign exchange losses from 5 years to 3 years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Bill, 2024</w:t>
      </w:r>
    </w:p>
    <w:p w14:paraId="604DECBE" w14:textId="6EADED5E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Nairobi International Financial Centre (NIFC) Investment Threshold</w:t>
      </w:r>
      <w:r w:rsidR="001B5D11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074986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 xml:space="preserve">- </w:t>
      </w:r>
      <w:r w:rsidR="00A46234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will need additional data</w:t>
      </w:r>
      <w:r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br/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Reduction of the minimum investment threshold for companies certified by the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Nairobi International Financial Centre Authority (NIFCA)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from </w:t>
      </w:r>
      <w:proofErr w:type="spellStart"/>
      <w:r w:rsidRPr="0056561F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56561F">
        <w:rPr>
          <w:rFonts w:ascii="Times New Roman" w:eastAsia="Times New Roman" w:hAnsi="Times New Roman" w:cs="Times New Roman"/>
          <w:bCs/>
          <w:lang w:eastAsia="en-GB"/>
        </w:rPr>
        <w:t xml:space="preserve"> 5 billion to </w:t>
      </w:r>
      <w:proofErr w:type="spellStart"/>
      <w:r w:rsidRPr="0056561F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56561F">
        <w:rPr>
          <w:rFonts w:ascii="Times New Roman" w:eastAsia="Times New Roman" w:hAnsi="Times New Roman" w:cs="Times New Roman"/>
          <w:bCs/>
          <w:lang w:eastAsia="en-GB"/>
        </w:rPr>
        <w:t xml:space="preserve"> 3 billion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Bill, 2024</w:t>
      </w:r>
    </w:p>
    <w:p w14:paraId="288020EC" w14:textId="4BD748D4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Domestic Minimum Top-Up Tax</w:t>
      </w:r>
      <w:r w:rsidR="00074986">
        <w:rPr>
          <w:rFonts w:ascii="Times New Roman" w:eastAsia="Times New Roman" w:hAnsi="Times New Roman" w:cs="Times New Roman"/>
          <w:bCs/>
          <w:lang w:eastAsia="en-GB"/>
        </w:rPr>
        <w:t xml:space="preserve"> – </w:t>
      </w:r>
      <w:r w:rsidR="00074986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need a different model</w:t>
      </w:r>
      <w:r w:rsidRPr="0056561F">
        <w:rPr>
          <w:rFonts w:ascii="Times New Roman" w:eastAsia="Times New Roman" w:hAnsi="Times New Roman" w:cs="Times New Roman"/>
          <w:lang w:eastAsia="en-GB"/>
        </w:rPr>
        <w:br/>
        <w:t xml:space="preserve">Introduction of a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Domestic Minimum Top-Up Tax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where the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combined effective tax rate of a Multinational Enterprise (MNE)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in a year of income is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below 15%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Tax Laws (Amendment) Bill, 2024</w:t>
      </w:r>
    </w:p>
    <w:p w14:paraId="567BC6CA" w14:textId="0FC2FB17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lastRenderedPageBreak/>
        <w:t>Investment Allowance on Spectrum Fees</w:t>
      </w:r>
      <w:r w:rsidR="00074986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074986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- will need additional data</w:t>
      </w:r>
      <w:r w:rsidR="00074986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br/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Provision of an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investment allowance of 10%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on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spectrum fees paid by telecommunication operators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Bill, 2024</w:t>
      </w:r>
    </w:p>
    <w:p w14:paraId="6586110B" w14:textId="5AB20EF7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Removal of 150% Investment Allowance Transition</w:t>
      </w:r>
      <w:r w:rsidR="008E6C6F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997480" w:rsidRPr="00997480">
        <w:rPr>
          <w:rFonts w:ascii="Times New Roman" w:eastAsia="Times New Roman" w:hAnsi="Times New Roman" w:cs="Times New Roman"/>
          <w:b/>
          <w:color w:val="0070C0"/>
          <w:lang w:eastAsia="en-GB"/>
        </w:rPr>
        <w:t xml:space="preserve">– need to have data for the different allowances, only investment </w:t>
      </w:r>
      <w:r w:rsidR="00FC5189">
        <w:rPr>
          <w:rFonts w:ascii="Times New Roman" w:eastAsia="Times New Roman" w:hAnsi="Times New Roman" w:cs="Times New Roman"/>
          <w:b/>
          <w:color w:val="0070C0"/>
          <w:lang w:eastAsia="en-GB"/>
        </w:rPr>
        <w:t>deduction in aggregate</w:t>
      </w:r>
      <w:r w:rsidR="00997480" w:rsidRPr="00997480">
        <w:rPr>
          <w:rFonts w:ascii="Times New Roman" w:eastAsia="Times New Roman" w:hAnsi="Times New Roman" w:cs="Times New Roman"/>
          <w:b/>
          <w:color w:val="0070C0"/>
          <w:lang w:eastAsia="en-GB"/>
        </w:rPr>
        <w:t xml:space="preserve"> in parameters</w:t>
      </w:r>
      <w:r w:rsidRPr="0056561F">
        <w:rPr>
          <w:rFonts w:ascii="Times New Roman" w:eastAsia="Times New Roman" w:hAnsi="Times New Roman" w:cs="Times New Roman"/>
          <w:lang w:eastAsia="en-GB"/>
        </w:rPr>
        <w:br/>
        <w:t xml:space="preserve">Deletion of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Section 133(6)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of the Income Tax Act to remove transitional provisions allowing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150% investment allowance deductions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Bill, 2024</w:t>
      </w:r>
    </w:p>
    <w:p w14:paraId="6348AEC8" w14:textId="40020080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Branch Profit Tax</w:t>
      </w:r>
      <w:r w:rsidR="002D48C9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2D48C9" w:rsidRPr="002D48C9">
        <w:rPr>
          <w:rFonts w:ascii="Times New Roman" w:eastAsia="Times New Roman" w:hAnsi="Times New Roman" w:cs="Times New Roman"/>
          <w:b/>
          <w:color w:val="0070C0"/>
          <w:lang w:eastAsia="en-GB"/>
        </w:rPr>
        <w:t>– can be done with this model?</w:t>
      </w:r>
      <w:r w:rsidRPr="0056561F">
        <w:rPr>
          <w:rFonts w:ascii="Times New Roman" w:eastAsia="Times New Roman" w:hAnsi="Times New Roman" w:cs="Times New Roman"/>
          <w:lang w:eastAsia="en-GB"/>
        </w:rPr>
        <w:br/>
        <w:t xml:space="preserve">Introduction of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branch profit tax at 15%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on repatriated profits by branches of non-resident companies.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Act, 2023</w:t>
      </w:r>
    </w:p>
    <w:p w14:paraId="76661C0C" w14:textId="2EDF66C7" w:rsidR="00D17487" w:rsidRPr="0056561F" w:rsidRDefault="00D17487" w:rsidP="001F4B2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Turnover Tax (TOT) Changes</w:t>
      </w:r>
      <w:proofErr w:type="gramStart"/>
      <w:r w:rsidR="001C2794">
        <w:rPr>
          <w:rFonts w:ascii="Times New Roman" w:eastAsia="Times New Roman" w:hAnsi="Times New Roman" w:cs="Times New Roman"/>
          <w:bCs/>
          <w:lang w:eastAsia="en-GB"/>
        </w:rPr>
        <w:t xml:space="preserve">-  </w:t>
      </w:r>
      <w:r w:rsidR="001C2794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need</w:t>
      </w:r>
      <w:proofErr w:type="gramEnd"/>
      <w:r w:rsidR="001C2794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 xml:space="preserve"> </w:t>
      </w:r>
      <w:r w:rsidR="001C2794">
        <w:rPr>
          <w:rFonts w:ascii="Times New Roman" w:eastAsia="Times New Roman" w:hAnsi="Times New Roman" w:cs="Times New Roman"/>
          <w:b/>
          <w:color w:val="0070C0"/>
          <w:lang w:eastAsia="en-GB"/>
        </w:rPr>
        <w:t xml:space="preserve">data and </w:t>
      </w:r>
      <w:r w:rsidR="001C2794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a different model</w:t>
      </w:r>
    </w:p>
    <w:p w14:paraId="464F000E" w14:textId="77777777" w:rsidR="00D17487" w:rsidRPr="0056561F" w:rsidRDefault="00D17487" w:rsidP="001F4B2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lang w:eastAsia="en-GB"/>
        </w:rPr>
        <w:t xml:space="preserve">Increase in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Turnover Tax rate from 1% to 3%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</w:p>
    <w:p w14:paraId="03D1F1A4" w14:textId="6F729E33" w:rsidR="001F4B2D" w:rsidRPr="001F4B2D" w:rsidRDefault="00D17487" w:rsidP="001F4B2D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lang w:eastAsia="en-GB"/>
        </w:rPr>
        <w:t xml:space="preserve">Revision of the applicable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 xml:space="preserve">turnover band from </w:t>
      </w:r>
      <w:proofErr w:type="spellStart"/>
      <w:r w:rsidRPr="0056561F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56561F">
        <w:rPr>
          <w:rFonts w:ascii="Times New Roman" w:eastAsia="Times New Roman" w:hAnsi="Times New Roman" w:cs="Times New Roman"/>
          <w:bCs/>
          <w:lang w:eastAsia="en-GB"/>
        </w:rPr>
        <w:t xml:space="preserve"> 1 million to </w:t>
      </w:r>
      <w:proofErr w:type="spellStart"/>
      <w:r w:rsidRPr="0056561F">
        <w:rPr>
          <w:rFonts w:ascii="Times New Roman" w:eastAsia="Times New Roman" w:hAnsi="Times New Roman" w:cs="Times New Roman"/>
          <w:bCs/>
          <w:lang w:eastAsia="en-GB"/>
        </w:rPr>
        <w:t>KSh</w:t>
      </w:r>
      <w:proofErr w:type="spellEnd"/>
      <w:r w:rsidRPr="0056561F">
        <w:rPr>
          <w:rFonts w:ascii="Times New Roman" w:eastAsia="Times New Roman" w:hAnsi="Times New Roman" w:cs="Times New Roman"/>
          <w:bCs/>
          <w:lang w:eastAsia="en-GB"/>
        </w:rPr>
        <w:t xml:space="preserve"> 25 million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Act, 2023</w:t>
      </w:r>
    </w:p>
    <w:p w14:paraId="2E4C42E0" w14:textId="2D00E07D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Corporate Tax Rate for Non-Resident Companies</w:t>
      </w:r>
      <w:r w:rsidR="00656A6A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656A6A" w:rsidRPr="00656A6A">
        <w:rPr>
          <w:rFonts w:ascii="Times New Roman" w:eastAsia="Times New Roman" w:hAnsi="Times New Roman" w:cs="Times New Roman"/>
          <w:b/>
          <w:color w:val="0070C0"/>
          <w:lang w:eastAsia="en-GB"/>
        </w:rPr>
        <w:t xml:space="preserve">– </w:t>
      </w:r>
      <w:r w:rsidR="00656A6A" w:rsidRPr="00531C79">
        <w:rPr>
          <w:rFonts w:ascii="Times New Roman" w:eastAsia="Times New Roman" w:hAnsi="Times New Roman" w:cs="Times New Roman"/>
          <w:b/>
          <w:color w:val="0070C0"/>
          <w:highlight w:val="yellow"/>
          <w:lang w:eastAsia="en-GB"/>
        </w:rPr>
        <w:t>done in Ex.1</w:t>
      </w:r>
      <w:r w:rsidRPr="0056561F">
        <w:rPr>
          <w:rFonts w:ascii="Times New Roman" w:eastAsia="Times New Roman" w:hAnsi="Times New Roman" w:cs="Times New Roman"/>
          <w:lang w:eastAsia="en-GB"/>
        </w:rPr>
        <w:br/>
        <w:t xml:space="preserve">Reduction of the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corporate tax rate for non-resident companies from 37.5% to 30%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Act, 2023</w:t>
      </w:r>
    </w:p>
    <w:p w14:paraId="3EAE5495" w14:textId="10C50D96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Preferential Rate for Vaccine Manufacturing</w:t>
      </w:r>
      <w:r w:rsidR="002D48C9">
        <w:rPr>
          <w:rFonts w:ascii="Times New Roman" w:eastAsia="Times New Roman" w:hAnsi="Times New Roman" w:cs="Times New Roman"/>
          <w:bCs/>
          <w:lang w:eastAsia="en-GB"/>
        </w:rPr>
        <w:t xml:space="preserve"> - </w:t>
      </w:r>
      <w:r w:rsidR="002D48C9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will need additional data</w:t>
      </w:r>
      <w:r w:rsidRPr="0056561F">
        <w:rPr>
          <w:rFonts w:ascii="Times New Roman" w:eastAsia="Times New Roman" w:hAnsi="Times New Roman" w:cs="Times New Roman"/>
          <w:lang w:eastAsia="en-GB"/>
        </w:rPr>
        <w:br/>
        <w:t xml:space="preserve">Introduction of a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preferential corporate tax rate of 10%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for companies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manufacturing human vaccines</w:t>
      </w:r>
      <w:r w:rsidRPr="0056561F">
        <w:rPr>
          <w:rFonts w:ascii="Times New Roman" w:eastAsia="Times New Roman" w:hAnsi="Times New Roman" w:cs="Times New Roman"/>
          <w:lang w:eastAsia="en-GB"/>
        </w:rPr>
        <w:t>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Act, 2023</w:t>
      </w:r>
    </w:p>
    <w:p w14:paraId="40EF9D5D" w14:textId="5B345B65" w:rsidR="00D17487" w:rsidRPr="0056561F" w:rsidRDefault="00D17487" w:rsidP="001F4B2D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lang w:eastAsia="en-GB"/>
        </w:rPr>
      </w:pPr>
      <w:r w:rsidRPr="0056561F">
        <w:rPr>
          <w:rFonts w:ascii="Times New Roman" w:eastAsia="Times New Roman" w:hAnsi="Times New Roman" w:cs="Times New Roman"/>
          <w:bCs/>
          <w:lang w:eastAsia="en-GB"/>
        </w:rPr>
        <w:t>Interest Restriction Rules (Thin Capitalization Reform)</w:t>
      </w:r>
      <w:r w:rsidR="001C2794">
        <w:rPr>
          <w:rFonts w:ascii="Times New Roman" w:eastAsia="Times New Roman" w:hAnsi="Times New Roman" w:cs="Times New Roman"/>
          <w:bCs/>
          <w:lang w:eastAsia="en-GB"/>
        </w:rPr>
        <w:t xml:space="preserve"> - </w:t>
      </w:r>
      <w:r w:rsidR="001C2794" w:rsidRPr="00074986">
        <w:rPr>
          <w:rFonts w:ascii="Times New Roman" w:eastAsia="Times New Roman" w:hAnsi="Times New Roman" w:cs="Times New Roman"/>
          <w:b/>
          <w:color w:val="0070C0"/>
          <w:lang w:eastAsia="en-GB"/>
        </w:rPr>
        <w:t>need a different model</w:t>
      </w:r>
      <w:r w:rsidRPr="0056561F">
        <w:rPr>
          <w:rFonts w:ascii="Times New Roman" w:eastAsia="Times New Roman" w:hAnsi="Times New Roman" w:cs="Times New Roman"/>
          <w:lang w:eastAsia="en-GB"/>
        </w:rPr>
        <w:br/>
        <w:t xml:space="preserve">Replacement of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thin capitalization rules based on debt-to-equity ratios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with an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interest limitation rule based on the interest-to-earnings ratio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, using </w:t>
      </w:r>
      <w:r w:rsidRPr="0056561F">
        <w:rPr>
          <w:rFonts w:ascii="Times New Roman" w:eastAsia="Times New Roman" w:hAnsi="Times New Roman" w:cs="Times New Roman"/>
          <w:bCs/>
          <w:lang w:eastAsia="en-GB"/>
        </w:rPr>
        <w:t>Earnings Before Interest, Taxes, Depreciation, and Amortization (EBITDA)</w:t>
      </w:r>
      <w:r w:rsidRPr="0056561F">
        <w:rPr>
          <w:rFonts w:ascii="Times New Roman" w:eastAsia="Times New Roman" w:hAnsi="Times New Roman" w:cs="Times New Roman"/>
          <w:lang w:eastAsia="en-GB"/>
        </w:rPr>
        <w:t xml:space="preserve"> as the benchmark.</w:t>
      </w:r>
      <w:r w:rsidRPr="0056561F">
        <w:rPr>
          <w:rFonts w:ascii="Times New Roman" w:eastAsia="Times New Roman" w:hAnsi="Times New Roman" w:cs="Times New Roman"/>
          <w:lang w:eastAsia="en-GB"/>
        </w:rPr>
        <w:br/>
      </w:r>
      <w:r w:rsidRPr="0056561F">
        <w:rPr>
          <w:rFonts w:ascii="Times New Roman" w:eastAsia="Times New Roman" w:hAnsi="Times New Roman" w:cs="Times New Roman"/>
          <w:i/>
          <w:iCs/>
          <w:lang w:eastAsia="en-GB"/>
        </w:rPr>
        <w:t>Source: Finance Act, 2021</w:t>
      </w:r>
    </w:p>
    <w:p w14:paraId="2CC17DA9" w14:textId="77777777" w:rsidR="00D17487" w:rsidRPr="00FA7F86" w:rsidRDefault="00D17487">
      <w:pPr>
        <w:rPr>
          <w:rFonts w:ascii="Calibri" w:hAnsi="Calibri" w:cs="Calibri"/>
        </w:rPr>
      </w:pPr>
    </w:p>
    <w:sectPr w:rsidR="00D17487" w:rsidRPr="00FA7F86" w:rsidSect="00FA7F86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1649E"/>
    <w:multiLevelType w:val="multilevel"/>
    <w:tmpl w:val="7846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91220"/>
    <w:multiLevelType w:val="multilevel"/>
    <w:tmpl w:val="709458D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E6CEE"/>
    <w:multiLevelType w:val="multilevel"/>
    <w:tmpl w:val="583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992922">
    <w:abstractNumId w:val="2"/>
  </w:num>
  <w:num w:numId="2" w16cid:durableId="122356603">
    <w:abstractNumId w:val="1"/>
  </w:num>
  <w:num w:numId="3" w16cid:durableId="95263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86"/>
    <w:rsid w:val="00043360"/>
    <w:rsid w:val="00074986"/>
    <w:rsid w:val="000D79D5"/>
    <w:rsid w:val="00117292"/>
    <w:rsid w:val="001B5D11"/>
    <w:rsid w:val="001C2794"/>
    <w:rsid w:val="001C3573"/>
    <w:rsid w:val="001E0CDF"/>
    <w:rsid w:val="001F4B2D"/>
    <w:rsid w:val="0022341F"/>
    <w:rsid w:val="002976FC"/>
    <w:rsid w:val="002D48C9"/>
    <w:rsid w:val="003007CC"/>
    <w:rsid w:val="003D5BAF"/>
    <w:rsid w:val="003F66A1"/>
    <w:rsid w:val="004034D1"/>
    <w:rsid w:val="00412687"/>
    <w:rsid w:val="00450C55"/>
    <w:rsid w:val="0048407D"/>
    <w:rsid w:val="004D5D94"/>
    <w:rsid w:val="00531C79"/>
    <w:rsid w:val="005A776C"/>
    <w:rsid w:val="005E3740"/>
    <w:rsid w:val="0063634A"/>
    <w:rsid w:val="00640E01"/>
    <w:rsid w:val="00656A6A"/>
    <w:rsid w:val="006605C6"/>
    <w:rsid w:val="006B0B5B"/>
    <w:rsid w:val="006E1040"/>
    <w:rsid w:val="007A50A6"/>
    <w:rsid w:val="00806794"/>
    <w:rsid w:val="00853585"/>
    <w:rsid w:val="008900F3"/>
    <w:rsid w:val="008B627C"/>
    <w:rsid w:val="008E6C6F"/>
    <w:rsid w:val="009146CF"/>
    <w:rsid w:val="00997480"/>
    <w:rsid w:val="009B62A4"/>
    <w:rsid w:val="00A10766"/>
    <w:rsid w:val="00A46234"/>
    <w:rsid w:val="00B605AE"/>
    <w:rsid w:val="00C36820"/>
    <w:rsid w:val="00D17487"/>
    <w:rsid w:val="00D27495"/>
    <w:rsid w:val="00D952E0"/>
    <w:rsid w:val="00D95ACB"/>
    <w:rsid w:val="00DD2F56"/>
    <w:rsid w:val="00E52DF4"/>
    <w:rsid w:val="00EF3DF4"/>
    <w:rsid w:val="00FA7F86"/>
    <w:rsid w:val="00FC5189"/>
    <w:rsid w:val="00FE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E0BA"/>
  <w15:chartTrackingRefBased/>
  <w15:docId w15:val="{040A0021-AC1A-4721-B83F-A0E3EB49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86"/>
    <w:rPr>
      <w:b/>
      <w:bCs/>
      <w:smallCaps/>
      <w:color w:val="0F4761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FA7F8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829</Words>
  <Characters>4481</Characters>
  <Application>Microsoft Office Word</Application>
  <DocSecurity>0</DocSecurity>
  <Lines>128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mutuku</dc:creator>
  <cp:keywords/>
  <dc:description/>
  <cp:lastModifiedBy>Cebreiro Gomez, Ana</cp:lastModifiedBy>
  <cp:revision>37</cp:revision>
  <dcterms:created xsi:type="dcterms:W3CDTF">2026-03-11T17:13:00Z</dcterms:created>
  <dcterms:modified xsi:type="dcterms:W3CDTF">2026-03-11T18:04:00Z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2026-03-11T17:33:40Z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a1bfa174-332d-4cb9-8e6c-0c76800f0fa7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