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32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878"/>
      </w:tblGrid>
      <w:tr>
        <w:trPr>
          <w:trHeight w:val="4968" w:hRule="atLeast"/>
        </w:trPr>
        <w:tc>
          <w:tcPr>
            <w:tcW w:type="dxa" w:w="9720"/>
            <w:shd w:fill="10263B" w:val="clear"/>
            <w:tcMar>
              <w:top w:w="380" w:type="dxa"/>
              <w:start w:w="420" w:type="dxa"/>
              <w:bottom w:w="380" w:type="dxa"/>
              <w:end w:w="420" w:type="dxa"/>
            </w:tcMar>
          </w:tcPr>
          <w:p>
            <w:pPr>
              <w:pStyle w:val="CoverEyebrow"/>
            </w:pPr>
            <w:r>
              <w:t>TECHNICAL REFERENCE  |  RELEASE 2026.3</w:t>
            </w:r>
          </w:p>
          <w:p>
            <w:pPr>
              <w:pStyle w:val="CoverTitle"/>
            </w:pPr>
            <w:r>
              <w:t>MANAGERV2</w:t>
            </w:r>
          </w:p>
          <w:p>
            <w:pPr>
              <w:pStyle w:val="CoverSubtitle"/>
            </w:pPr>
            <w:r>
              <w:t>Comprehensive Technical Documentation</w:t>
            </w:r>
          </w:p>
          <w:p>
            <w:pPr>
              <w:pStyle w:val="CoverTagline"/>
            </w:pPr>
            <w:r>
              <w:t>Architecture  •  Modules  •  Security  •  Data  •  Integrations  •  Operations</w:t>
            </w:r>
          </w:p>
        </w:tc>
      </w:tr>
    </w:tbl>
    <w:p>
      <w:pPr>
        <w:spacing w:before="320" w:after="120"/>
      </w:pPr>
      <w:r>
        <w:t>Project information</w:t>
      </w:r>
    </w:p>
    <w:tbl>
      <w:tblPr>
        <w:tblW w:type="auto" w:w="0"/>
        <w:jc w:val="center"/>
        <w:tblLayout w:type="fixed"/>
        <w:tblLook w:firstColumn="1" w:firstRow="1" w:lastColumn="0" w:lastRow="0" w:noHBand="0" w:noVBand="1" w:val="04A0"/>
        <w:tblBorders>
          <w:top w:val="single" w:sz="4" w:space="0" w:color="D7E0E6"/>
          <w:left w:val="single" w:sz="4" w:space="0" w:color="D7E0E6"/>
          <w:bottom w:val="single" w:sz="4" w:space="0" w:color="D7E0E6"/>
          <w:right w:val="single" w:sz="4" w:space="0" w:color="D7E0E6"/>
          <w:insideH w:val="single" w:sz="4" w:space="0" w:color="D7E0E6"/>
          <w:insideV w:val="single" w:sz="4" w:space="0" w:color="D7E0E6"/>
        </w:tblBorders>
      </w:tblPr>
      <w:tblGrid>
        <w:gridCol w:w="4939"/>
        <w:gridCol w:w="4939"/>
      </w:tblGrid>
      <w:tr>
        <w:tc>
          <w:tcPr>
            <w:tcW w:type="dxa" w:w="2232"/>
            <w:shd w:fill="EAF4F8" w:val="clear"/>
            <w:tcMar>
              <w:top w:w="90" w:type="dxa"/>
              <w:start w:w="120" w:type="dxa"/>
              <w:bottom w:w="90" w:type="dxa"/>
              <w:end w:w="120" w:type="dxa"/>
            </w:tcMar>
            <w:vAlign w:val="center"/>
          </w:tcPr>
          <w:p>
            <w:pPr>
              <w:spacing w:after="0"/>
            </w:pPr>
            <w:r>
              <w:rPr>
                <w:rFonts w:ascii="Noto Sans" w:hAnsi="Noto Sans" w:eastAsia="Noto Sans"/>
                <w:b/>
                <w:color w:val="17324D"/>
                <w:sz w:val="18"/>
              </w:rPr>
              <w:t>Repository</w:t>
            </w:r>
          </w:p>
        </w:tc>
        <w:tc>
          <w:tcPr>
            <w:tcW w:type="dxa" w:w="7488"/>
            <w:tcMar>
              <w:top w:w="90" w:type="dxa"/>
              <w:start w:w="120" w:type="dxa"/>
              <w:bottom w:w="90" w:type="dxa"/>
              <w:end w:w="120" w:type="dxa"/>
            </w:tcMar>
            <w:vAlign w:val="center"/>
          </w:tcPr>
          <w:p>
            <w:pPr>
              <w:spacing w:after="0"/>
            </w:pPr>
            <w:r>
              <w:rPr>
                <w:rFonts w:ascii="Carlito" w:hAnsi="Carlito" w:eastAsia="Carlito"/>
                <w:color w:val="44515C"/>
                <w:sz w:val="18"/>
              </w:rPr>
              <w:t>github.com/sebastiansoja12/managerv2</w:t>
            </w:r>
          </w:p>
        </w:tc>
      </w:tr>
      <w:tr>
        <w:tc>
          <w:tcPr>
            <w:tcW w:type="dxa" w:w="2232"/>
            <w:shd w:fill="EAF4F8" w:val="clear"/>
            <w:tcMar>
              <w:top w:w="90" w:type="dxa"/>
              <w:start w:w="120" w:type="dxa"/>
              <w:bottom w:w="90" w:type="dxa"/>
              <w:end w:w="120" w:type="dxa"/>
            </w:tcMar>
            <w:vAlign w:val="center"/>
          </w:tcPr>
          <w:p>
            <w:pPr>
              <w:spacing w:after="0"/>
            </w:pPr>
            <w:r>
              <w:rPr>
                <w:rFonts w:ascii="Noto Sans" w:hAnsi="Noto Sans" w:eastAsia="Noto Sans"/>
                <w:b/>
                <w:color w:val="17324D"/>
                <w:sz w:val="18"/>
              </w:rPr>
              <w:t>Project version</w:t>
            </w:r>
          </w:p>
        </w:tc>
        <w:tc>
          <w:tcPr>
            <w:tcW w:type="dxa" w:w="7488"/>
            <w:tcMar>
              <w:top w:w="90" w:type="dxa"/>
              <w:start w:w="120" w:type="dxa"/>
              <w:bottom w:w="90" w:type="dxa"/>
              <w:end w:w="120" w:type="dxa"/>
            </w:tcMar>
            <w:vAlign w:val="center"/>
          </w:tcPr>
          <w:p>
            <w:pPr>
              <w:spacing w:after="0"/>
            </w:pPr>
            <w:r>
              <w:rPr>
                <w:rFonts w:ascii="Carlito" w:hAnsi="Carlito" w:eastAsia="Carlito"/>
                <w:color w:val="44515C"/>
                <w:sz w:val="18"/>
              </w:rPr>
              <w:t>2026.3</w:t>
            </w:r>
          </w:p>
        </w:tc>
      </w:tr>
      <w:tr>
        <w:tc>
          <w:tcPr>
            <w:tcW w:type="dxa" w:w="2232"/>
            <w:shd w:fill="EAF4F8" w:val="clear"/>
            <w:tcMar>
              <w:top w:w="90" w:type="dxa"/>
              <w:start w:w="120" w:type="dxa"/>
              <w:bottom w:w="90" w:type="dxa"/>
              <w:end w:w="120" w:type="dxa"/>
            </w:tcMar>
            <w:vAlign w:val="center"/>
          </w:tcPr>
          <w:p>
            <w:pPr>
              <w:spacing w:after="0"/>
            </w:pPr>
            <w:r>
              <w:rPr>
                <w:rFonts w:ascii="Noto Sans" w:hAnsi="Noto Sans" w:eastAsia="Noto Sans"/>
                <w:b/>
                <w:color w:val="17324D"/>
                <w:sz w:val="18"/>
              </w:rPr>
              <w:t>Document date</w:t>
            </w:r>
          </w:p>
        </w:tc>
        <w:tc>
          <w:tcPr>
            <w:tcW w:type="dxa" w:w="7488"/>
            <w:tcMar>
              <w:top w:w="90" w:type="dxa"/>
              <w:start w:w="120" w:type="dxa"/>
              <w:bottom w:w="90" w:type="dxa"/>
              <w:end w:w="120" w:type="dxa"/>
            </w:tcMar>
            <w:vAlign w:val="center"/>
          </w:tcPr>
          <w:p>
            <w:pPr>
              <w:spacing w:after="0"/>
            </w:pPr>
            <w:r>
              <w:rPr>
                <w:rFonts w:ascii="Carlito" w:hAnsi="Carlito" w:eastAsia="Carlito"/>
                <w:color w:val="44515C"/>
                <w:sz w:val="18"/>
              </w:rPr>
              <w:t>22 August 2026</w:t>
            </w:r>
          </w:p>
        </w:tc>
      </w:tr>
    </w:tbl>
    <w:p>
      <w:pPr>
        <w:pStyle w:val="CoverSmall"/>
        <w:spacing w:before="200"/>
      </w:pPr>
      <w:r>
        <w:t xml:space="preserve">Source: </w:t>
      </w:r>
      <w:hyperlink r:id="rId11">
        <w:r>
          <w:rPr>
            <w:rFonts w:ascii="Carlito" w:hAnsi="Carlito"/>
            <w:color w:val="2F6B93"/>
            <w:u w:val="single"/>
          </w:rPr>
          <w:t>https://github.com/sebastiansoja12/managerv2</w:t>
        </w:r>
      </w:hyperlink>
    </w:p>
    <w:p>
      <w:pPr>
        <w:pStyle w:val="CoverSmall"/>
      </w:pPr>
      <w:r>
        <w:t>Prepared as an engineering reference for development, review, deployment, and operations.</w:t>
      </w:r>
    </w:p>
    <w:p>
      <w:pPr>
        <w:spacing w:before="360"/>
      </w:pPr>
      <w:r>
        <w:br w:type="page"/>
      </w:r>
    </w:p>
    <w:p>
      <w:bookmarkStart w:id="712" w:name="mv2_toc"/>
      <w:pPr>
        <w:pStyle w:val="TOCHeading"/>
      </w:pPr>
      <w:r>
        <w:t>Table of Contents</w:t>
      </w:r>
      <w:bookmarkEnd w:id="712"/>
    </w:p>
    <w:p>
      <w:pPr>
        <w:pStyle w:val="TOC1"/>
        <w:tabs>
          <w:tab w:pos="9432" w:val="right" w:leader="dot"/>
        </w:tabs>
      </w:pPr>
      <w:hyperlink w:anchor="mv2_h_0001" w:history="1">
        <w:r>
          <w:rPr>
            <w:rFonts w:ascii="Carlito" w:hAnsi="Carlito"/>
            <w:color w:val="17324D"/>
          </w:rPr>
          <w:t>Executive Summary</w:t>
        </w:r>
      </w:hyperlink>
      <w:r>
        <w:tab/>
      </w:r>
      <w:r>
        <w:rPr>
          <w:rFonts w:ascii="Carlito" w:hAnsi="Carlito" w:eastAsia="Carlito"/>
          <w:b/>
          <w:color w:val="17324D"/>
          <w:sz w:val="17"/>
        </w:rPr>
        <w:fldChar w:fldCharType="begin"/>
        <w:instrText xml:space="preserve"> PAGEREF mv2_h_0001 \h </w:instrText>
        <w:fldChar w:fldCharType="separate"/>
        <w:t>0</w:t>
        <w:fldChar w:fldCharType="end"/>
      </w:r>
    </w:p>
    <w:p>
      <w:pPr>
        <w:pStyle w:val="TOC2"/>
        <w:tabs>
          <w:tab w:pos="9432" w:val="right" w:leader="dot"/>
        </w:tabs>
      </w:pPr>
      <w:hyperlink w:anchor="mv2_h_0002" w:history="1">
        <w:r>
          <w:rPr>
            <w:rFonts w:ascii="Carlito" w:hAnsi="Carlito"/>
            <w:color w:val="44515C"/>
          </w:rPr>
          <w:t>Key Architectural Conclusions</w:t>
        </w:r>
      </w:hyperlink>
      <w:r>
        <w:tab/>
      </w:r>
      <w:r>
        <w:rPr>
          <w:rFonts w:ascii="Carlito" w:hAnsi="Carlito" w:eastAsia="Carlito"/>
          <w:b w:val="0"/>
          <w:color w:val="44515C"/>
          <w:sz w:val="16"/>
        </w:rPr>
        <w:fldChar w:fldCharType="begin"/>
        <w:instrText xml:space="preserve"> PAGEREF mv2_h_0002 \h </w:instrText>
        <w:fldChar w:fldCharType="separate"/>
        <w:t>0</w:t>
        <w:fldChar w:fldCharType="end"/>
      </w:r>
    </w:p>
    <w:p>
      <w:pPr>
        <w:pStyle w:val="TOC1"/>
        <w:tabs>
          <w:tab w:pos="9432" w:val="right" w:leader="dot"/>
        </w:tabs>
      </w:pPr>
      <w:hyperlink w:anchor="mv2_h_0004" w:history="1">
        <w:r>
          <w:rPr>
            <w:rFonts w:ascii="Carlito" w:hAnsi="Carlito"/>
            <w:color w:val="17324D"/>
          </w:rPr>
          <w:t>1. Purpose, Audience, and Documentation Scope</w:t>
        </w:r>
      </w:hyperlink>
      <w:r>
        <w:tab/>
      </w:r>
      <w:r>
        <w:rPr>
          <w:rFonts w:ascii="Carlito" w:hAnsi="Carlito" w:eastAsia="Carlito"/>
          <w:b/>
          <w:color w:val="17324D"/>
          <w:sz w:val="17"/>
        </w:rPr>
        <w:fldChar w:fldCharType="begin"/>
        <w:instrText xml:space="preserve"> PAGEREF mv2_h_0004 \h </w:instrText>
        <w:fldChar w:fldCharType="separate"/>
        <w:t>0</w:t>
        <w:fldChar w:fldCharType="end"/>
      </w:r>
    </w:p>
    <w:p>
      <w:pPr>
        <w:pStyle w:val="TOC2"/>
        <w:tabs>
          <w:tab w:pos="9432" w:val="right" w:leader="dot"/>
        </w:tabs>
      </w:pPr>
      <w:hyperlink w:anchor="mv2_h_0005" w:history="1">
        <w:r>
          <w:rPr>
            <w:rFonts w:ascii="Carlito" w:hAnsi="Carlito"/>
            <w:color w:val="44515C"/>
          </w:rPr>
          <w:t>1.1 Purpose</w:t>
        </w:r>
      </w:hyperlink>
      <w:r>
        <w:tab/>
      </w:r>
      <w:r>
        <w:rPr>
          <w:rFonts w:ascii="Carlito" w:hAnsi="Carlito" w:eastAsia="Carlito"/>
          <w:b w:val="0"/>
          <w:color w:val="44515C"/>
          <w:sz w:val="16"/>
        </w:rPr>
        <w:fldChar w:fldCharType="begin"/>
        <w:instrText xml:space="preserve"> PAGEREF mv2_h_0005 \h </w:instrText>
        <w:fldChar w:fldCharType="separate"/>
        <w:t>0</w:t>
        <w:fldChar w:fldCharType="end"/>
      </w:r>
    </w:p>
    <w:p>
      <w:pPr>
        <w:pStyle w:val="TOC2"/>
        <w:tabs>
          <w:tab w:pos="9432" w:val="right" w:leader="dot"/>
        </w:tabs>
      </w:pPr>
      <w:hyperlink w:anchor="mv2_h_0006" w:history="1">
        <w:r>
          <w:rPr>
            <w:rFonts w:ascii="Carlito" w:hAnsi="Carlito"/>
            <w:color w:val="44515C"/>
          </w:rPr>
          <w:t>1.2 Intended Audience</w:t>
        </w:r>
      </w:hyperlink>
      <w:r>
        <w:tab/>
      </w:r>
      <w:r>
        <w:rPr>
          <w:rFonts w:ascii="Carlito" w:hAnsi="Carlito" w:eastAsia="Carlito"/>
          <w:b w:val="0"/>
          <w:color w:val="44515C"/>
          <w:sz w:val="16"/>
        </w:rPr>
        <w:fldChar w:fldCharType="begin"/>
        <w:instrText xml:space="preserve"> PAGEREF mv2_h_0006 \h </w:instrText>
        <w:fldChar w:fldCharType="separate"/>
        <w:t>0</w:t>
        <w:fldChar w:fldCharType="end"/>
      </w:r>
    </w:p>
    <w:p>
      <w:pPr>
        <w:pStyle w:val="TOC2"/>
        <w:tabs>
          <w:tab w:pos="9432" w:val="right" w:leader="dot"/>
        </w:tabs>
      </w:pPr>
      <w:hyperlink w:anchor="mv2_h_0007" w:history="1">
        <w:r>
          <w:rPr>
            <w:rFonts w:ascii="Carlito" w:hAnsi="Carlito"/>
            <w:color w:val="44515C"/>
          </w:rPr>
          <w:t>1.3 Documentation Scope</w:t>
        </w:r>
      </w:hyperlink>
      <w:r>
        <w:tab/>
      </w:r>
      <w:r>
        <w:rPr>
          <w:rFonts w:ascii="Carlito" w:hAnsi="Carlito" w:eastAsia="Carlito"/>
          <w:b w:val="0"/>
          <w:color w:val="44515C"/>
          <w:sz w:val="16"/>
        </w:rPr>
        <w:fldChar w:fldCharType="begin"/>
        <w:instrText xml:space="preserve"> PAGEREF mv2_h_0007 \h </w:instrText>
        <w:fldChar w:fldCharType="separate"/>
        <w:t>0</w:t>
        <w:fldChar w:fldCharType="end"/>
      </w:r>
    </w:p>
    <w:p>
      <w:pPr>
        <w:pStyle w:val="TOC2"/>
        <w:tabs>
          <w:tab w:pos="9432" w:val="right" w:leader="dot"/>
        </w:tabs>
      </w:pPr>
      <w:hyperlink w:anchor="mv2_h_0008" w:history="1">
        <w:r>
          <w:rPr>
            <w:rFonts w:ascii="Carlito" w:hAnsi="Carlito"/>
            <w:color w:val="44515C"/>
          </w:rPr>
          <w:t>1.4 Method of Analysis</w:t>
        </w:r>
      </w:hyperlink>
      <w:r>
        <w:tab/>
      </w:r>
      <w:r>
        <w:rPr>
          <w:rFonts w:ascii="Carlito" w:hAnsi="Carlito" w:eastAsia="Carlito"/>
          <w:b w:val="0"/>
          <w:color w:val="44515C"/>
          <w:sz w:val="16"/>
        </w:rPr>
        <w:fldChar w:fldCharType="begin"/>
        <w:instrText xml:space="preserve"> PAGEREF mv2_h_0008 \h </w:instrText>
        <w:fldChar w:fldCharType="separate"/>
        <w:t>0</w:t>
        <w:fldChar w:fldCharType="end"/>
      </w:r>
    </w:p>
    <w:p>
      <w:pPr>
        <w:pStyle w:val="TOC2"/>
        <w:tabs>
          <w:tab w:pos="9432" w:val="right" w:leader="dot"/>
        </w:tabs>
      </w:pPr>
      <w:hyperlink w:anchor="mv2_h_0009" w:history="1">
        <w:r>
          <w:rPr>
            <w:rFonts w:ascii="Carlito" w:hAnsi="Carlito"/>
            <w:color w:val="44515C"/>
          </w:rPr>
          <w:t>1.5 Terminology</w:t>
        </w:r>
      </w:hyperlink>
      <w:r>
        <w:tab/>
      </w:r>
      <w:r>
        <w:rPr>
          <w:rFonts w:ascii="Carlito" w:hAnsi="Carlito" w:eastAsia="Carlito"/>
          <w:b w:val="0"/>
          <w:color w:val="44515C"/>
          <w:sz w:val="16"/>
        </w:rPr>
        <w:fldChar w:fldCharType="begin"/>
        <w:instrText xml:space="preserve"> PAGEREF mv2_h_0009 \h </w:instrText>
        <w:fldChar w:fldCharType="separate"/>
        <w:t>0</w:t>
        <w:fldChar w:fldCharType="end"/>
      </w:r>
    </w:p>
    <w:p>
      <w:pPr>
        <w:pStyle w:val="TOC1"/>
        <w:tabs>
          <w:tab w:pos="9432" w:val="right" w:leader="dot"/>
        </w:tabs>
      </w:pPr>
      <w:hyperlink w:anchor="mv2_h_0010" w:history="1">
        <w:r>
          <w:rPr>
            <w:rFonts w:ascii="Carlito" w:hAnsi="Carlito"/>
            <w:color w:val="17324D"/>
          </w:rPr>
          <w:t>2. Product and Domain Overview</w:t>
        </w:r>
      </w:hyperlink>
      <w:r>
        <w:tab/>
      </w:r>
      <w:r>
        <w:rPr>
          <w:rFonts w:ascii="Carlito" w:hAnsi="Carlito" w:eastAsia="Carlito"/>
          <w:b/>
          <w:color w:val="17324D"/>
          <w:sz w:val="17"/>
        </w:rPr>
        <w:fldChar w:fldCharType="begin"/>
        <w:instrText xml:space="preserve"> PAGEREF mv2_h_0010 \h </w:instrText>
        <w:fldChar w:fldCharType="separate"/>
        <w:t>0</w:t>
        <w:fldChar w:fldCharType="end"/>
      </w:r>
    </w:p>
    <w:p>
      <w:pPr>
        <w:pStyle w:val="TOC2"/>
        <w:tabs>
          <w:tab w:pos="9432" w:val="right" w:leader="dot"/>
        </w:tabs>
      </w:pPr>
      <w:hyperlink w:anchor="mv2_h_0011" w:history="1">
        <w:r>
          <w:rPr>
            <w:rFonts w:ascii="Carlito" w:hAnsi="Carlito"/>
            <w:color w:val="44515C"/>
          </w:rPr>
          <w:t>2.1 Product Scope</w:t>
        </w:r>
      </w:hyperlink>
      <w:r>
        <w:tab/>
      </w:r>
      <w:r>
        <w:rPr>
          <w:rFonts w:ascii="Carlito" w:hAnsi="Carlito" w:eastAsia="Carlito"/>
          <w:b w:val="0"/>
          <w:color w:val="44515C"/>
          <w:sz w:val="16"/>
        </w:rPr>
        <w:fldChar w:fldCharType="begin"/>
        <w:instrText xml:space="preserve"> PAGEREF mv2_h_0011 \h </w:instrText>
        <w:fldChar w:fldCharType="separate"/>
        <w:t>0</w:t>
        <w:fldChar w:fldCharType="end"/>
      </w:r>
    </w:p>
    <w:p>
      <w:pPr>
        <w:pStyle w:val="TOC2"/>
        <w:tabs>
          <w:tab w:pos="9432" w:val="right" w:leader="dot"/>
        </w:tabs>
      </w:pPr>
      <w:hyperlink w:anchor="mv2_h_0012" w:history="1">
        <w:r>
          <w:rPr>
            <w:rFonts w:ascii="Carlito" w:hAnsi="Carlito"/>
            <w:color w:val="44515C"/>
          </w:rPr>
          <w:t>2.2 Core Business Capabilities</w:t>
        </w:r>
      </w:hyperlink>
      <w:r>
        <w:tab/>
      </w:r>
      <w:r>
        <w:rPr>
          <w:rFonts w:ascii="Carlito" w:hAnsi="Carlito" w:eastAsia="Carlito"/>
          <w:b w:val="0"/>
          <w:color w:val="44515C"/>
          <w:sz w:val="16"/>
        </w:rPr>
        <w:fldChar w:fldCharType="begin"/>
        <w:instrText xml:space="preserve"> PAGEREF mv2_h_0012 \h </w:instrText>
        <w:fldChar w:fldCharType="separate"/>
        <w:t>0</w:t>
        <w:fldChar w:fldCharType="end"/>
      </w:r>
    </w:p>
    <w:p>
      <w:pPr>
        <w:pStyle w:val="TOC2"/>
        <w:tabs>
          <w:tab w:pos="9432" w:val="right" w:leader="dot"/>
        </w:tabs>
      </w:pPr>
      <w:hyperlink w:anchor="mv2_h_0020" w:history="1">
        <w:r>
          <w:rPr>
            <w:rFonts w:ascii="Carlito" w:hAnsi="Carlito"/>
            <w:color w:val="44515C"/>
          </w:rPr>
          <w:t>2.3 Typical End-to-End Scenario</w:t>
        </w:r>
      </w:hyperlink>
      <w:r>
        <w:tab/>
      </w:r>
      <w:r>
        <w:rPr>
          <w:rFonts w:ascii="Carlito" w:hAnsi="Carlito" w:eastAsia="Carlito"/>
          <w:b w:val="0"/>
          <w:color w:val="44515C"/>
          <w:sz w:val="16"/>
        </w:rPr>
        <w:fldChar w:fldCharType="begin"/>
        <w:instrText xml:space="preserve"> PAGEREF mv2_h_0020 \h </w:instrText>
        <w:fldChar w:fldCharType="separate"/>
        <w:t>0</w:t>
        <w:fldChar w:fldCharType="end"/>
      </w:r>
    </w:p>
    <w:p>
      <w:pPr>
        <w:pStyle w:val="TOC2"/>
        <w:tabs>
          <w:tab w:pos="9432" w:val="right" w:leader="dot"/>
        </w:tabs>
      </w:pPr>
      <w:hyperlink w:anchor="mv2_h_0021" w:history="1">
        <w:r>
          <w:rPr>
            <w:rFonts w:ascii="Carlito" w:hAnsi="Carlito"/>
            <w:color w:val="44515C"/>
          </w:rPr>
          <w:t>2.4 Domain Ownership Principles</w:t>
        </w:r>
      </w:hyperlink>
      <w:r>
        <w:tab/>
      </w:r>
      <w:r>
        <w:rPr>
          <w:rFonts w:ascii="Carlito" w:hAnsi="Carlito" w:eastAsia="Carlito"/>
          <w:b w:val="0"/>
          <w:color w:val="44515C"/>
          <w:sz w:val="16"/>
        </w:rPr>
        <w:fldChar w:fldCharType="begin"/>
        <w:instrText xml:space="preserve"> PAGEREF mv2_h_0021 \h </w:instrText>
        <w:fldChar w:fldCharType="separate"/>
        <w:t>0</w:t>
        <w:fldChar w:fldCharType="end"/>
      </w:r>
    </w:p>
    <w:p>
      <w:pPr>
        <w:pStyle w:val="TOC2"/>
        <w:tabs>
          <w:tab w:pos="9432" w:val="right" w:leader="dot"/>
        </w:tabs>
      </w:pPr>
      <w:hyperlink w:anchor="mv2_h_0022" w:history="1">
        <w:r>
          <w:rPr>
            <w:rFonts w:ascii="Carlito" w:hAnsi="Carlito"/>
            <w:color w:val="44515C"/>
          </w:rPr>
          <w:t>2.5 Non-Functional Characteristics</w:t>
        </w:r>
      </w:hyperlink>
      <w:r>
        <w:tab/>
      </w:r>
      <w:r>
        <w:rPr>
          <w:rFonts w:ascii="Carlito" w:hAnsi="Carlito" w:eastAsia="Carlito"/>
          <w:b w:val="0"/>
          <w:color w:val="44515C"/>
          <w:sz w:val="16"/>
        </w:rPr>
        <w:fldChar w:fldCharType="begin"/>
        <w:instrText xml:space="preserve"> PAGEREF mv2_h_0022 \h </w:instrText>
        <w:fldChar w:fldCharType="separate"/>
        <w:t>0</w:t>
        <w:fldChar w:fldCharType="end"/>
      </w:r>
    </w:p>
    <w:p>
      <w:pPr>
        <w:pStyle w:val="TOC1"/>
        <w:tabs>
          <w:tab w:pos="9432" w:val="right" w:leader="dot"/>
        </w:tabs>
      </w:pPr>
      <w:hyperlink w:anchor="mv2_h_0023" w:history="1">
        <w:r>
          <w:rPr>
            <w:rFonts w:ascii="Carlito" w:hAnsi="Carlito"/>
            <w:color w:val="17324D"/>
          </w:rPr>
          <w:t>3. Repository and Build Organization</w:t>
        </w:r>
      </w:hyperlink>
      <w:r>
        <w:tab/>
      </w:r>
      <w:r>
        <w:rPr>
          <w:rFonts w:ascii="Carlito" w:hAnsi="Carlito" w:eastAsia="Carlito"/>
          <w:b/>
          <w:color w:val="17324D"/>
          <w:sz w:val="17"/>
        </w:rPr>
        <w:fldChar w:fldCharType="begin"/>
        <w:instrText xml:space="preserve"> PAGEREF mv2_h_0023 \h </w:instrText>
        <w:fldChar w:fldCharType="separate"/>
        <w:t>0</w:t>
        <w:fldChar w:fldCharType="end"/>
      </w:r>
    </w:p>
    <w:p>
      <w:pPr>
        <w:pStyle w:val="TOC2"/>
        <w:tabs>
          <w:tab w:pos="9432" w:val="right" w:leader="dot"/>
        </w:tabs>
      </w:pPr>
      <w:hyperlink w:anchor="mv2_h_0024" w:history="1">
        <w:r>
          <w:rPr>
            <w:rFonts w:ascii="Carlito" w:hAnsi="Carlito"/>
            <w:color w:val="44515C"/>
          </w:rPr>
          <w:t>3.1 Root Maven Reactor</w:t>
        </w:r>
      </w:hyperlink>
      <w:r>
        <w:tab/>
      </w:r>
      <w:r>
        <w:rPr>
          <w:rFonts w:ascii="Carlito" w:hAnsi="Carlito" w:eastAsia="Carlito"/>
          <w:b w:val="0"/>
          <w:color w:val="44515C"/>
          <w:sz w:val="16"/>
        </w:rPr>
        <w:fldChar w:fldCharType="begin"/>
        <w:instrText xml:space="preserve"> PAGEREF mv2_h_0024 \h </w:instrText>
        <w:fldChar w:fldCharType="separate"/>
        <w:t>0</w:t>
        <w:fldChar w:fldCharType="end"/>
      </w:r>
    </w:p>
    <w:p>
      <w:pPr>
        <w:pStyle w:val="TOC2"/>
        <w:tabs>
          <w:tab w:pos="9432" w:val="right" w:leader="dot"/>
        </w:tabs>
      </w:pPr>
      <w:hyperlink w:anchor="mv2_h_0025" w:history="1">
        <w:r>
          <w:rPr>
            <w:rFonts w:ascii="Carlito" w:hAnsi="Carlito"/>
            <w:color w:val="44515C"/>
          </w:rPr>
          <w:t>3.2 Common Module Layout</w:t>
        </w:r>
      </w:hyperlink>
      <w:r>
        <w:tab/>
      </w:r>
      <w:r>
        <w:rPr>
          <w:rFonts w:ascii="Carlito" w:hAnsi="Carlito" w:eastAsia="Carlito"/>
          <w:b w:val="0"/>
          <w:color w:val="44515C"/>
          <w:sz w:val="16"/>
        </w:rPr>
        <w:fldChar w:fldCharType="begin"/>
        <w:instrText xml:space="preserve"> PAGEREF mv2_h_0025 \h </w:instrText>
        <w:fldChar w:fldCharType="separate"/>
        <w:t>0</w:t>
        <w:fldChar w:fldCharType="end"/>
      </w:r>
    </w:p>
    <w:p>
      <w:pPr>
        <w:pStyle w:val="TOC2"/>
        <w:tabs>
          <w:tab w:pos="9432" w:val="right" w:leader="dot"/>
        </w:tabs>
      </w:pPr>
      <w:hyperlink w:anchor="mv2_h_0026" w:history="1">
        <w:r>
          <w:rPr>
            <w:rFonts w:ascii="Carlito" w:hAnsi="Carlito"/>
            <w:color w:val="44515C"/>
          </w:rPr>
          <w:t>3.3 Parent Version and Dependency Management</w:t>
        </w:r>
      </w:hyperlink>
      <w:r>
        <w:tab/>
      </w:r>
      <w:r>
        <w:rPr>
          <w:rFonts w:ascii="Carlito" w:hAnsi="Carlito" w:eastAsia="Carlito"/>
          <w:b w:val="0"/>
          <w:color w:val="44515C"/>
          <w:sz w:val="16"/>
        </w:rPr>
        <w:fldChar w:fldCharType="begin"/>
        <w:instrText xml:space="preserve"> PAGEREF mv2_h_0026 \h </w:instrText>
        <w:fldChar w:fldCharType="separate"/>
        <w:t>0</w:t>
        <w:fldChar w:fldCharType="end"/>
      </w:r>
    </w:p>
    <w:p>
      <w:pPr>
        <w:pStyle w:val="TOC2"/>
        <w:tabs>
          <w:tab w:pos="9432" w:val="right" w:leader="dot"/>
        </w:tabs>
      </w:pPr>
      <w:hyperlink w:anchor="mv2_h_0027" w:history="1">
        <w:r>
          <w:rPr>
            <w:rFonts w:ascii="Carlito" w:hAnsi="Carlito"/>
            <w:color w:val="44515C"/>
          </w:rPr>
          <w:t>3.4 Maven Profiles</w:t>
        </w:r>
      </w:hyperlink>
      <w:r>
        <w:tab/>
      </w:r>
      <w:r>
        <w:rPr>
          <w:rFonts w:ascii="Carlito" w:hAnsi="Carlito" w:eastAsia="Carlito"/>
          <w:b w:val="0"/>
          <w:color w:val="44515C"/>
          <w:sz w:val="16"/>
        </w:rPr>
        <w:fldChar w:fldCharType="begin"/>
        <w:instrText xml:space="preserve"> PAGEREF mv2_h_0027 \h </w:instrText>
        <w:fldChar w:fldCharType="separate"/>
        <w:t>0</w:t>
        <w:fldChar w:fldCharType="end"/>
      </w:r>
    </w:p>
    <w:p>
      <w:pPr>
        <w:pStyle w:val="TOC2"/>
        <w:tabs>
          <w:tab w:pos="9432" w:val="right" w:leader="dot"/>
        </w:tabs>
      </w:pPr>
      <w:hyperlink w:anchor="mv2_h_0028" w:history="1">
        <w:r>
          <w:rPr>
            <w:rFonts w:ascii="Carlito" w:hAnsi="Carlito"/>
            <w:color w:val="44515C"/>
          </w:rPr>
          <w:t>3.5 Build Outputs</w:t>
        </w:r>
      </w:hyperlink>
      <w:r>
        <w:tab/>
      </w:r>
      <w:r>
        <w:rPr>
          <w:rFonts w:ascii="Carlito" w:hAnsi="Carlito" w:eastAsia="Carlito"/>
          <w:b w:val="0"/>
          <w:color w:val="44515C"/>
          <w:sz w:val="16"/>
        </w:rPr>
        <w:fldChar w:fldCharType="begin"/>
        <w:instrText xml:space="preserve"> PAGEREF mv2_h_0028 \h </w:instrText>
        <w:fldChar w:fldCharType="separate"/>
        <w:t>0</w:t>
        <w:fldChar w:fldCharType="end"/>
      </w:r>
    </w:p>
    <w:p>
      <w:pPr>
        <w:pStyle w:val="TOC2"/>
        <w:tabs>
          <w:tab w:pos="9432" w:val="right" w:leader="dot"/>
        </w:tabs>
      </w:pPr>
      <w:hyperlink w:anchor="mv2_h_0029" w:history="1">
        <w:r>
          <w:rPr>
            <w:rFonts w:ascii="Carlito" w:hAnsi="Carlito"/>
            <w:color w:val="44515C"/>
          </w:rPr>
          <w:t>3.6 Distribution Management</w:t>
        </w:r>
      </w:hyperlink>
      <w:r>
        <w:tab/>
      </w:r>
      <w:r>
        <w:rPr>
          <w:rFonts w:ascii="Carlito" w:hAnsi="Carlito" w:eastAsia="Carlito"/>
          <w:b w:val="0"/>
          <w:color w:val="44515C"/>
          <w:sz w:val="16"/>
        </w:rPr>
        <w:fldChar w:fldCharType="begin"/>
        <w:instrText xml:space="preserve"> PAGEREF mv2_h_0029 \h </w:instrText>
        <w:fldChar w:fldCharType="separate"/>
        <w:t>0</w:t>
        <w:fldChar w:fldCharType="end"/>
      </w:r>
    </w:p>
    <w:p>
      <w:pPr>
        <w:pStyle w:val="TOC1"/>
        <w:tabs>
          <w:tab w:pos="9432" w:val="right" w:leader="dot"/>
        </w:tabs>
      </w:pPr>
      <w:hyperlink w:anchor="mv2_h_0031" w:history="1">
        <w:r>
          <w:rPr>
            <w:rFonts w:ascii="Carlito" w:hAnsi="Carlito"/>
            <w:color w:val="17324D"/>
          </w:rPr>
          <w:t>4. Architectural Overview</w:t>
        </w:r>
      </w:hyperlink>
      <w:r>
        <w:tab/>
      </w:r>
      <w:r>
        <w:rPr>
          <w:rFonts w:ascii="Carlito" w:hAnsi="Carlito" w:eastAsia="Carlito"/>
          <w:b/>
          <w:color w:val="17324D"/>
          <w:sz w:val="17"/>
        </w:rPr>
        <w:fldChar w:fldCharType="begin"/>
        <w:instrText xml:space="preserve"> PAGEREF mv2_h_0031 \h </w:instrText>
        <w:fldChar w:fldCharType="separate"/>
        <w:t>0</w:t>
        <w:fldChar w:fldCharType="end"/>
      </w:r>
    </w:p>
    <w:p>
      <w:pPr>
        <w:pStyle w:val="TOC2"/>
        <w:tabs>
          <w:tab w:pos="9432" w:val="right" w:leader="dot"/>
        </w:tabs>
      </w:pPr>
      <w:hyperlink w:anchor="mv2_h_0032" w:history="1">
        <w:r>
          <w:rPr>
            <w:rFonts w:ascii="Carlito" w:hAnsi="Carlito"/>
            <w:color w:val="44515C"/>
          </w:rPr>
          <w:t>4.1 Architectural Style</w:t>
        </w:r>
      </w:hyperlink>
      <w:r>
        <w:tab/>
      </w:r>
      <w:r>
        <w:rPr>
          <w:rFonts w:ascii="Carlito" w:hAnsi="Carlito" w:eastAsia="Carlito"/>
          <w:b w:val="0"/>
          <w:color w:val="44515C"/>
          <w:sz w:val="16"/>
        </w:rPr>
        <w:fldChar w:fldCharType="begin"/>
        <w:instrText xml:space="preserve"> PAGEREF mv2_h_0032 \h </w:instrText>
        <w:fldChar w:fldCharType="separate"/>
        <w:t>0</w:t>
        <w:fldChar w:fldCharType="end"/>
      </w:r>
    </w:p>
    <w:p>
      <w:pPr>
        <w:pStyle w:val="TOC2"/>
        <w:tabs>
          <w:tab w:pos="9432" w:val="right" w:leader="dot"/>
        </w:tabs>
      </w:pPr>
      <w:hyperlink w:anchor="mv2_h_0033" w:history="1">
        <w:r>
          <w:rPr>
            <w:rFonts w:ascii="Carlito" w:hAnsi="Carlito"/>
            <w:color w:val="44515C"/>
          </w:rPr>
          <w:t>4.2 API/Impl Separation</w:t>
        </w:r>
      </w:hyperlink>
      <w:r>
        <w:tab/>
      </w:r>
      <w:r>
        <w:rPr>
          <w:rFonts w:ascii="Carlito" w:hAnsi="Carlito" w:eastAsia="Carlito"/>
          <w:b w:val="0"/>
          <w:color w:val="44515C"/>
          <w:sz w:val="16"/>
        </w:rPr>
        <w:fldChar w:fldCharType="begin"/>
        <w:instrText xml:space="preserve"> PAGEREF mv2_h_0033 \h </w:instrText>
        <w:fldChar w:fldCharType="separate"/>
        <w:t>0</w:t>
        <w:fldChar w:fldCharType="end"/>
      </w:r>
    </w:p>
    <w:p>
      <w:pPr>
        <w:pStyle w:val="TOC2"/>
        <w:tabs>
          <w:tab w:pos="9432" w:val="right" w:leader="dot"/>
        </w:tabs>
      </w:pPr>
      <w:hyperlink w:anchor="mv2_h_0034" w:history="1">
        <w:r>
          <w:rPr>
            <w:rFonts w:ascii="Carlito" w:hAnsi="Carlito"/>
            <w:color w:val="44515C"/>
          </w:rPr>
          <w:t>4.3 Dependency Direction</w:t>
        </w:r>
      </w:hyperlink>
      <w:r>
        <w:tab/>
      </w:r>
      <w:r>
        <w:rPr>
          <w:rFonts w:ascii="Carlito" w:hAnsi="Carlito" w:eastAsia="Carlito"/>
          <w:b w:val="0"/>
          <w:color w:val="44515C"/>
          <w:sz w:val="16"/>
        </w:rPr>
        <w:fldChar w:fldCharType="begin"/>
        <w:instrText xml:space="preserve"> PAGEREF mv2_h_0034 \h </w:instrText>
        <w:fldChar w:fldCharType="separate"/>
        <w:t>0</w:t>
        <w:fldChar w:fldCharType="end"/>
      </w:r>
    </w:p>
    <w:p>
      <w:pPr>
        <w:pStyle w:val="TOC2"/>
        <w:tabs>
          <w:tab w:pos="9432" w:val="right" w:leader="dot"/>
        </w:tabs>
      </w:pPr>
      <w:hyperlink w:anchor="mv2_h_0035" w:history="1">
        <w:r>
          <w:rPr>
            <w:rFonts w:ascii="Carlito" w:hAnsi="Carlito"/>
            <w:color w:val="44515C"/>
          </w:rPr>
          <w:t>4.4 Main Application Assembly</w:t>
        </w:r>
      </w:hyperlink>
      <w:r>
        <w:tab/>
      </w:r>
      <w:r>
        <w:rPr>
          <w:rFonts w:ascii="Carlito" w:hAnsi="Carlito" w:eastAsia="Carlito"/>
          <w:b w:val="0"/>
          <w:color w:val="44515C"/>
          <w:sz w:val="16"/>
        </w:rPr>
        <w:fldChar w:fldCharType="begin"/>
        <w:instrText xml:space="preserve"> PAGEREF mv2_h_0035 \h </w:instrText>
        <w:fldChar w:fldCharType="separate"/>
        <w:t>0</w:t>
        <w:fldChar w:fldCharType="end"/>
      </w:r>
    </w:p>
    <w:p>
      <w:pPr>
        <w:pStyle w:val="TOC2"/>
        <w:tabs>
          <w:tab w:pos="9432" w:val="right" w:leader="dot"/>
        </w:tabs>
      </w:pPr>
      <w:hyperlink w:anchor="mv2_h_0036" w:history="1">
        <w:r>
          <w:rPr>
            <w:rFonts w:ascii="Carlito" w:hAnsi="Carlito"/>
            <w:color w:val="44515C"/>
          </w:rPr>
          <w:t>4.5 Orchestration Versus Domain Logic</w:t>
        </w:r>
      </w:hyperlink>
      <w:r>
        <w:tab/>
      </w:r>
      <w:r>
        <w:rPr>
          <w:rFonts w:ascii="Carlito" w:hAnsi="Carlito" w:eastAsia="Carlito"/>
          <w:b w:val="0"/>
          <w:color w:val="44515C"/>
          <w:sz w:val="16"/>
        </w:rPr>
        <w:fldChar w:fldCharType="begin"/>
        <w:instrText xml:space="preserve"> PAGEREF mv2_h_0036 \h </w:instrText>
        <w:fldChar w:fldCharType="separate"/>
        <w:t>0</w:t>
        <w:fldChar w:fldCharType="end"/>
      </w:r>
    </w:p>
    <w:p>
      <w:pPr>
        <w:pStyle w:val="TOC2"/>
        <w:tabs>
          <w:tab w:pos="9432" w:val="right" w:leader="dot"/>
        </w:tabs>
      </w:pPr>
      <w:hyperlink w:anchor="mv2_h_0037" w:history="1">
        <w:r>
          <w:rPr>
            <w:rFonts w:ascii="Carlito" w:hAnsi="Carlito"/>
            <w:color w:val="44515C"/>
          </w:rPr>
          <w:t>4.6 Synchronous and Asynchronous Boundaries</w:t>
        </w:r>
      </w:hyperlink>
      <w:r>
        <w:tab/>
      </w:r>
      <w:r>
        <w:rPr>
          <w:rFonts w:ascii="Carlito" w:hAnsi="Carlito" w:eastAsia="Carlito"/>
          <w:b w:val="0"/>
          <w:color w:val="44515C"/>
          <w:sz w:val="16"/>
        </w:rPr>
        <w:fldChar w:fldCharType="begin"/>
        <w:instrText xml:space="preserve"> PAGEREF mv2_h_0037 \h </w:instrText>
        <w:fldChar w:fldCharType="separate"/>
        <w:t>0</w:t>
        <w:fldChar w:fldCharType="end"/>
      </w:r>
    </w:p>
    <w:p>
      <w:pPr>
        <w:pStyle w:val="TOC2"/>
        <w:tabs>
          <w:tab w:pos="9432" w:val="right" w:leader="dot"/>
        </w:tabs>
      </w:pPr>
      <w:hyperlink w:anchor="mv2_h_0038" w:history="1">
        <w:r>
          <w:rPr>
            <w:rFonts w:ascii="Carlito" w:hAnsi="Carlito"/>
            <w:color w:val="44515C"/>
          </w:rPr>
          <w:t>4.7 Transaction Boundaries</w:t>
        </w:r>
      </w:hyperlink>
      <w:r>
        <w:tab/>
      </w:r>
      <w:r>
        <w:rPr>
          <w:rFonts w:ascii="Carlito" w:hAnsi="Carlito" w:eastAsia="Carlito"/>
          <w:b w:val="0"/>
          <w:color w:val="44515C"/>
          <w:sz w:val="16"/>
        </w:rPr>
        <w:fldChar w:fldCharType="begin"/>
        <w:instrText xml:space="preserve"> PAGEREF mv2_h_0038 \h </w:instrText>
        <w:fldChar w:fldCharType="separate"/>
        <w:t>0</w:t>
        <w:fldChar w:fldCharType="end"/>
      </w:r>
    </w:p>
    <w:p>
      <w:pPr>
        <w:pStyle w:val="TOC1"/>
        <w:tabs>
          <w:tab w:pos="9432" w:val="right" w:leader="dot"/>
        </w:tabs>
      </w:pPr>
      <w:hyperlink w:anchor="mv2_h_0040" w:history="1">
        <w:r>
          <w:rPr>
            <w:rFonts w:ascii="Carlito" w:hAnsi="Carlito"/>
            <w:color w:val="17324D"/>
          </w:rPr>
          <w:t>5. Runtime Topology and Infrastructure</w:t>
        </w:r>
      </w:hyperlink>
      <w:r>
        <w:tab/>
      </w:r>
      <w:r>
        <w:rPr>
          <w:rFonts w:ascii="Carlito" w:hAnsi="Carlito" w:eastAsia="Carlito"/>
          <w:b/>
          <w:color w:val="17324D"/>
          <w:sz w:val="17"/>
        </w:rPr>
        <w:fldChar w:fldCharType="begin"/>
        <w:instrText xml:space="preserve"> PAGEREF mv2_h_0040 \h </w:instrText>
        <w:fldChar w:fldCharType="separate"/>
        <w:t>0</w:t>
        <w:fldChar w:fldCharType="end"/>
      </w:r>
    </w:p>
    <w:p>
      <w:pPr>
        <w:pStyle w:val="TOC2"/>
        <w:tabs>
          <w:tab w:pos="9432" w:val="right" w:leader="dot"/>
        </w:tabs>
      </w:pPr>
      <w:hyperlink w:anchor="mv2_h_0041" w:history="1">
        <w:r>
          <w:rPr>
            <w:rFonts w:ascii="Carlito" w:hAnsi="Carlito"/>
            <w:color w:val="44515C"/>
          </w:rPr>
          <w:t>5.1 Logical Topology</w:t>
        </w:r>
      </w:hyperlink>
      <w:r>
        <w:tab/>
      </w:r>
      <w:r>
        <w:rPr>
          <w:rFonts w:ascii="Carlito" w:hAnsi="Carlito" w:eastAsia="Carlito"/>
          <w:b w:val="0"/>
          <w:color w:val="44515C"/>
          <w:sz w:val="16"/>
        </w:rPr>
        <w:fldChar w:fldCharType="begin"/>
        <w:instrText xml:space="preserve"> PAGEREF mv2_h_0041 \h </w:instrText>
        <w:fldChar w:fldCharType="separate"/>
        <w:t>0</w:t>
        <w:fldChar w:fldCharType="end"/>
      </w:r>
    </w:p>
    <w:p>
      <w:pPr>
        <w:pStyle w:val="TOC2"/>
        <w:tabs>
          <w:tab w:pos="9432" w:val="right" w:leader="dot"/>
        </w:tabs>
      </w:pPr>
      <w:hyperlink w:anchor="mv2_h_0042" w:history="1">
        <w:r>
          <w:rPr>
            <w:rFonts w:ascii="Carlito" w:hAnsi="Carlito"/>
            <w:color w:val="44515C"/>
          </w:rPr>
          <w:t>5.2 Main Application</w:t>
        </w:r>
      </w:hyperlink>
      <w:r>
        <w:tab/>
      </w:r>
      <w:r>
        <w:rPr>
          <w:rFonts w:ascii="Carlito" w:hAnsi="Carlito" w:eastAsia="Carlito"/>
          <w:b w:val="0"/>
          <w:color w:val="44515C"/>
          <w:sz w:val="16"/>
        </w:rPr>
        <w:fldChar w:fldCharType="begin"/>
        <w:instrText xml:space="preserve"> PAGEREF mv2_h_0042 \h </w:instrText>
        <w:fldChar w:fldCharType="separate"/>
        <w:t>0</w:t>
        <w:fldChar w:fldCharType="end"/>
      </w:r>
    </w:p>
    <w:p>
      <w:pPr>
        <w:pStyle w:val="TOC2"/>
        <w:tabs>
          <w:tab w:pos="9432" w:val="right" w:leader="dot"/>
        </w:tabs>
      </w:pPr>
      <w:hyperlink w:anchor="mv2_h_0043" w:history="1">
        <w:r>
          <w:rPr>
            <w:rFonts w:ascii="Carlito" w:hAnsi="Carlito"/>
            <w:color w:val="44515C"/>
          </w:rPr>
          <w:t>5.3 Gateway</w:t>
        </w:r>
      </w:hyperlink>
      <w:r>
        <w:tab/>
      </w:r>
      <w:r>
        <w:rPr>
          <w:rFonts w:ascii="Carlito" w:hAnsi="Carlito" w:eastAsia="Carlito"/>
          <w:b w:val="0"/>
          <w:color w:val="44515C"/>
          <w:sz w:val="16"/>
        </w:rPr>
        <w:fldChar w:fldCharType="begin"/>
        <w:instrText xml:space="preserve"> PAGEREF mv2_h_0043 \h </w:instrText>
        <w:fldChar w:fldCharType="separate"/>
        <w:t>0</w:t>
        <w:fldChar w:fldCharType="end"/>
      </w:r>
    </w:p>
    <w:p>
      <w:pPr>
        <w:pStyle w:val="TOC2"/>
        <w:tabs>
          <w:tab w:pos="9432" w:val="right" w:leader="dot"/>
        </w:tabs>
      </w:pPr>
      <w:hyperlink w:anchor="mv2_h_0044" w:history="1">
        <w:r>
          <w:rPr>
            <w:rFonts w:ascii="Carlito" w:hAnsi="Carlito"/>
            <w:color w:val="44515C"/>
          </w:rPr>
          <w:t>5.4 Eureka Server</w:t>
        </w:r>
      </w:hyperlink>
      <w:r>
        <w:tab/>
      </w:r>
      <w:r>
        <w:rPr>
          <w:rFonts w:ascii="Carlito" w:hAnsi="Carlito" w:eastAsia="Carlito"/>
          <w:b w:val="0"/>
          <w:color w:val="44515C"/>
          <w:sz w:val="16"/>
        </w:rPr>
        <w:fldChar w:fldCharType="begin"/>
        <w:instrText xml:space="preserve"> PAGEREF mv2_h_0044 \h </w:instrText>
        <w:fldChar w:fldCharType="separate"/>
        <w:t>0</w:t>
        <w:fldChar w:fldCharType="end"/>
      </w:r>
    </w:p>
    <w:p>
      <w:pPr>
        <w:pStyle w:val="TOC2"/>
        <w:tabs>
          <w:tab w:pos="9432" w:val="right" w:leader="dot"/>
        </w:tabs>
      </w:pPr>
      <w:hyperlink w:anchor="mv2_h_0045" w:history="1">
        <w:r>
          <w:rPr>
            <w:rFonts w:ascii="Carlito" w:hAnsi="Carlito"/>
            <w:color w:val="44515C"/>
          </w:rPr>
          <w:t>5.5 Supporting Services and Default Ports</w:t>
        </w:r>
      </w:hyperlink>
      <w:r>
        <w:tab/>
      </w:r>
      <w:r>
        <w:rPr>
          <w:rFonts w:ascii="Carlito" w:hAnsi="Carlito" w:eastAsia="Carlito"/>
          <w:b w:val="0"/>
          <w:color w:val="44515C"/>
          <w:sz w:val="16"/>
        </w:rPr>
        <w:fldChar w:fldCharType="begin"/>
        <w:instrText xml:space="preserve"> PAGEREF mv2_h_0045 \h </w:instrText>
        <w:fldChar w:fldCharType="separate"/>
        <w:t>0</w:t>
        <w:fldChar w:fldCharType="end"/>
      </w:r>
    </w:p>
    <w:p>
      <w:pPr>
        <w:pStyle w:val="TOC2"/>
        <w:tabs>
          <w:tab w:pos="9432" w:val="right" w:leader="dot"/>
        </w:tabs>
      </w:pPr>
      <w:hyperlink w:anchor="mv2_h_0046" w:history="1">
        <w:r>
          <w:rPr>
            <w:rFonts w:ascii="Carlito" w:hAnsi="Carlito"/>
            <w:color w:val="44515C"/>
          </w:rPr>
          <w:t>5.6 Datastores</w:t>
        </w:r>
      </w:hyperlink>
      <w:r>
        <w:tab/>
      </w:r>
      <w:r>
        <w:rPr>
          <w:rFonts w:ascii="Carlito" w:hAnsi="Carlito" w:eastAsia="Carlito"/>
          <w:b w:val="0"/>
          <w:color w:val="44515C"/>
          <w:sz w:val="16"/>
        </w:rPr>
        <w:fldChar w:fldCharType="begin"/>
        <w:instrText xml:space="preserve"> PAGEREF mv2_h_0046 \h </w:instrText>
        <w:fldChar w:fldCharType="separate"/>
        <w:t>0</w:t>
        <w:fldChar w:fldCharType="end"/>
      </w:r>
    </w:p>
    <w:p>
      <w:pPr>
        <w:pStyle w:val="TOC2"/>
        <w:tabs>
          <w:tab w:pos="9432" w:val="right" w:leader="dot"/>
        </w:tabs>
      </w:pPr>
      <w:hyperlink w:anchor="mv2_h_0047" w:history="1">
        <w:r>
          <w:rPr>
            <w:rFonts w:ascii="Carlito" w:hAnsi="Carlito"/>
            <w:color w:val="44515C"/>
          </w:rPr>
          <w:t>5.7 Kafka and ZooKeeper</w:t>
        </w:r>
      </w:hyperlink>
      <w:r>
        <w:tab/>
      </w:r>
      <w:r>
        <w:rPr>
          <w:rFonts w:ascii="Carlito" w:hAnsi="Carlito" w:eastAsia="Carlito"/>
          <w:b w:val="0"/>
          <w:color w:val="44515C"/>
          <w:sz w:val="16"/>
        </w:rPr>
        <w:fldChar w:fldCharType="begin"/>
        <w:instrText xml:space="preserve"> PAGEREF mv2_h_0047 \h </w:instrText>
        <w:fldChar w:fldCharType="separate"/>
        <w:t>0</w:t>
        <w:fldChar w:fldCharType="end"/>
      </w:r>
    </w:p>
    <w:p>
      <w:pPr>
        <w:pStyle w:val="TOC2"/>
        <w:tabs>
          <w:tab w:pos="9432" w:val="right" w:leader="dot"/>
        </w:tabs>
      </w:pPr>
      <w:hyperlink w:anchor="mv2_h_0048" w:history="1">
        <w:r>
          <w:rPr>
            <w:rFonts w:ascii="Carlito" w:hAnsi="Carlito"/>
            <w:color w:val="44515C"/>
          </w:rPr>
          <w:t>5.8 External Services</w:t>
        </w:r>
      </w:hyperlink>
      <w:r>
        <w:tab/>
      </w:r>
      <w:r>
        <w:rPr>
          <w:rFonts w:ascii="Carlito" w:hAnsi="Carlito" w:eastAsia="Carlito"/>
          <w:b w:val="0"/>
          <w:color w:val="44515C"/>
          <w:sz w:val="16"/>
        </w:rPr>
        <w:fldChar w:fldCharType="begin"/>
        <w:instrText xml:space="preserve"> PAGEREF mv2_h_0048 \h </w:instrText>
        <w:fldChar w:fldCharType="separate"/>
        <w:t>0</w:t>
        <w:fldChar w:fldCharType="end"/>
      </w:r>
    </w:p>
    <w:p>
      <w:pPr>
        <w:pStyle w:val="TOC1"/>
        <w:tabs>
          <w:tab w:pos="9432" w:val="right" w:leader="dot"/>
        </w:tabs>
      </w:pPr>
      <w:hyperlink w:anchor="mv2_h_0050" w:history="1">
        <w:r>
          <w:rPr>
            <w:rFonts w:ascii="Carlito" w:hAnsi="Carlito"/>
            <w:color w:val="17324D"/>
          </w:rPr>
          <w:t>6. Main Application Bootstrap and Configuration</w:t>
        </w:r>
      </w:hyperlink>
      <w:r>
        <w:tab/>
      </w:r>
      <w:r>
        <w:rPr>
          <w:rFonts w:ascii="Carlito" w:hAnsi="Carlito" w:eastAsia="Carlito"/>
          <w:b/>
          <w:color w:val="17324D"/>
          <w:sz w:val="17"/>
        </w:rPr>
        <w:fldChar w:fldCharType="begin"/>
        <w:instrText xml:space="preserve"> PAGEREF mv2_h_0050 \h </w:instrText>
        <w:fldChar w:fldCharType="separate"/>
        <w:t>0</w:t>
        <w:fldChar w:fldCharType="end"/>
      </w:r>
    </w:p>
    <w:p>
      <w:pPr>
        <w:pStyle w:val="TOC2"/>
        <w:tabs>
          <w:tab w:pos="9432" w:val="right" w:leader="dot"/>
        </w:tabs>
      </w:pPr>
      <w:hyperlink w:anchor="mv2_h_0051" w:history="1">
        <w:r>
          <w:rPr>
            <w:rFonts w:ascii="Carlito" w:hAnsi="Carlito"/>
            <w:color w:val="44515C"/>
          </w:rPr>
          <w:t>6.1 Bootstrap Class</w:t>
        </w:r>
      </w:hyperlink>
      <w:r>
        <w:tab/>
      </w:r>
      <w:r>
        <w:rPr>
          <w:rFonts w:ascii="Carlito" w:hAnsi="Carlito" w:eastAsia="Carlito"/>
          <w:b w:val="0"/>
          <w:color w:val="44515C"/>
          <w:sz w:val="16"/>
        </w:rPr>
        <w:fldChar w:fldCharType="begin"/>
        <w:instrText xml:space="preserve"> PAGEREF mv2_h_0051 \h </w:instrText>
        <w:fldChar w:fldCharType="separate"/>
        <w:t>0</w:t>
        <w:fldChar w:fldCharType="end"/>
      </w:r>
    </w:p>
    <w:p>
      <w:pPr>
        <w:pStyle w:val="TOC2"/>
        <w:tabs>
          <w:tab w:pos="9432" w:val="right" w:leader="dot"/>
        </w:tabs>
      </w:pPr>
      <w:hyperlink w:anchor="mv2_h_0052" w:history="1">
        <w:r>
          <w:rPr>
            <w:rFonts w:ascii="Carlito" w:hAnsi="Carlito"/>
            <w:color w:val="44515C"/>
          </w:rPr>
          <w:t>6.2 Application Identity and Web Context</w:t>
        </w:r>
      </w:hyperlink>
      <w:r>
        <w:tab/>
      </w:r>
      <w:r>
        <w:rPr>
          <w:rFonts w:ascii="Carlito" w:hAnsi="Carlito" w:eastAsia="Carlito"/>
          <w:b w:val="0"/>
          <w:color w:val="44515C"/>
          <w:sz w:val="16"/>
        </w:rPr>
        <w:fldChar w:fldCharType="begin"/>
        <w:instrText xml:space="preserve"> PAGEREF mv2_h_0052 \h </w:instrText>
        <w:fldChar w:fldCharType="separate"/>
        <w:t>0</w:t>
        <w:fldChar w:fldCharType="end"/>
      </w:r>
    </w:p>
    <w:p>
      <w:pPr>
        <w:pStyle w:val="TOC2"/>
        <w:tabs>
          <w:tab w:pos="9432" w:val="right" w:leader="dot"/>
        </w:tabs>
      </w:pPr>
      <w:hyperlink w:anchor="mv2_h_0053" w:history="1">
        <w:r>
          <w:rPr>
            <w:rFonts w:ascii="Carlito" w:hAnsi="Carlito"/>
            <w:color w:val="44515C"/>
          </w:rPr>
          <w:t>6.3 Configuration Profiles</w:t>
        </w:r>
      </w:hyperlink>
      <w:r>
        <w:tab/>
      </w:r>
      <w:r>
        <w:rPr>
          <w:rFonts w:ascii="Carlito" w:hAnsi="Carlito" w:eastAsia="Carlito"/>
          <w:b w:val="0"/>
          <w:color w:val="44515C"/>
          <w:sz w:val="16"/>
        </w:rPr>
        <w:fldChar w:fldCharType="begin"/>
        <w:instrText xml:space="preserve"> PAGEREF mv2_h_0053 \h </w:instrText>
        <w:fldChar w:fldCharType="separate"/>
        <w:t>0</w:t>
        <w:fldChar w:fldCharType="end"/>
      </w:r>
    </w:p>
    <w:p>
      <w:pPr>
        <w:pStyle w:val="TOC2"/>
        <w:tabs>
          <w:tab w:pos="9432" w:val="right" w:leader="dot"/>
        </w:tabs>
      </w:pPr>
      <w:hyperlink w:anchor="mv2_h_0054" w:history="1">
        <w:r>
          <w:rPr>
            <w:rFonts w:ascii="Carlito" w:hAnsi="Carlito"/>
            <w:color w:val="44515C"/>
          </w:rPr>
          <w:t>6.4 Configuration Areas</w:t>
        </w:r>
      </w:hyperlink>
      <w:r>
        <w:tab/>
      </w:r>
      <w:r>
        <w:rPr>
          <w:rFonts w:ascii="Carlito" w:hAnsi="Carlito" w:eastAsia="Carlito"/>
          <w:b w:val="0"/>
          <w:color w:val="44515C"/>
          <w:sz w:val="16"/>
        </w:rPr>
        <w:fldChar w:fldCharType="begin"/>
        <w:instrText xml:space="preserve"> PAGEREF mv2_h_0054 \h </w:instrText>
        <w:fldChar w:fldCharType="separate"/>
        <w:t>0</w:t>
        <w:fldChar w:fldCharType="end"/>
      </w:r>
    </w:p>
    <w:p>
      <w:pPr>
        <w:pStyle w:val="TOC2"/>
        <w:tabs>
          <w:tab w:pos="9432" w:val="right" w:leader="dot"/>
        </w:tabs>
      </w:pPr>
      <w:hyperlink w:anchor="mv2_h_0055" w:history="1">
        <w:r>
          <w:rPr>
            <w:rFonts w:ascii="Carlito" w:hAnsi="Carlito"/>
            <w:color w:val="44515C"/>
          </w:rPr>
          <w:t>6.5 Internal API Prefixes</w:t>
        </w:r>
      </w:hyperlink>
      <w:r>
        <w:tab/>
      </w:r>
      <w:r>
        <w:rPr>
          <w:rFonts w:ascii="Carlito" w:hAnsi="Carlito" w:eastAsia="Carlito"/>
          <w:b w:val="0"/>
          <w:color w:val="44515C"/>
          <w:sz w:val="16"/>
        </w:rPr>
        <w:fldChar w:fldCharType="begin"/>
        <w:instrText xml:space="preserve"> PAGEREF mv2_h_0055 \h </w:instrText>
        <w:fldChar w:fldCharType="separate"/>
        <w:t>0</w:t>
        <w:fldChar w:fldCharType="end"/>
      </w:r>
    </w:p>
    <w:p>
      <w:pPr>
        <w:pStyle w:val="TOC2"/>
        <w:tabs>
          <w:tab w:pos="9432" w:val="right" w:leader="dot"/>
        </w:tabs>
      </w:pPr>
      <w:hyperlink w:anchor="mv2_h_0056" w:history="1">
        <w:r>
          <w:rPr>
            <w:rFonts w:ascii="Carlito" w:hAnsi="Carlito"/>
            <w:color w:val="44515C"/>
          </w:rPr>
          <w:t>6.6 CORS Configuration</w:t>
        </w:r>
      </w:hyperlink>
      <w:r>
        <w:tab/>
      </w:r>
      <w:r>
        <w:rPr>
          <w:rFonts w:ascii="Carlito" w:hAnsi="Carlito" w:eastAsia="Carlito"/>
          <w:b w:val="0"/>
          <w:color w:val="44515C"/>
          <w:sz w:val="16"/>
        </w:rPr>
        <w:fldChar w:fldCharType="begin"/>
        <w:instrText xml:space="preserve"> PAGEREF mv2_h_0056 \h </w:instrText>
        <w:fldChar w:fldCharType="separate"/>
        <w:t>0</w:t>
        <w:fldChar w:fldCharType="end"/>
      </w:r>
    </w:p>
    <w:p>
      <w:pPr>
        <w:pStyle w:val="TOC2"/>
        <w:tabs>
          <w:tab w:pos="9432" w:val="right" w:leader="dot"/>
        </w:tabs>
      </w:pPr>
      <w:hyperlink w:anchor="mv2_h_0057" w:history="1">
        <w:r>
          <w:rPr>
            <w:rFonts w:ascii="Carlito" w:hAnsi="Carlito"/>
            <w:color w:val="44515C"/>
          </w:rPr>
          <w:t>6.7 Cookie Configuration</w:t>
        </w:r>
      </w:hyperlink>
      <w:r>
        <w:tab/>
      </w:r>
      <w:r>
        <w:rPr>
          <w:rFonts w:ascii="Carlito" w:hAnsi="Carlito" w:eastAsia="Carlito"/>
          <w:b w:val="0"/>
          <w:color w:val="44515C"/>
          <w:sz w:val="16"/>
        </w:rPr>
        <w:fldChar w:fldCharType="begin"/>
        <w:instrText xml:space="preserve"> PAGEREF mv2_h_0057 \h </w:instrText>
        <w:fldChar w:fldCharType="separate"/>
        <w:t>0</w:t>
        <w:fldChar w:fldCharType="end"/>
      </w:r>
    </w:p>
    <w:p>
      <w:pPr>
        <w:pStyle w:val="TOC2"/>
        <w:tabs>
          <w:tab w:pos="9432" w:val="right" w:leader="dot"/>
        </w:tabs>
      </w:pPr>
      <w:hyperlink w:anchor="mv2_h_0059" w:history="1">
        <w:r>
          <w:rPr>
            <w:rFonts w:ascii="Carlito" w:hAnsi="Carlito"/>
            <w:color w:val="44515C"/>
          </w:rPr>
          <w:t>6.8 Seed Data</w:t>
        </w:r>
      </w:hyperlink>
      <w:r>
        <w:tab/>
      </w:r>
      <w:r>
        <w:rPr>
          <w:rFonts w:ascii="Carlito" w:hAnsi="Carlito" w:eastAsia="Carlito"/>
          <w:b w:val="0"/>
          <w:color w:val="44515C"/>
          <w:sz w:val="16"/>
        </w:rPr>
        <w:fldChar w:fldCharType="begin"/>
        <w:instrText xml:space="preserve"> PAGEREF mv2_h_0059 \h </w:instrText>
        <w:fldChar w:fldCharType="separate"/>
        <w:t>0</w:t>
        <w:fldChar w:fldCharType="end"/>
      </w:r>
    </w:p>
    <w:p>
      <w:pPr>
        <w:pStyle w:val="TOC2"/>
        <w:tabs>
          <w:tab w:pos="9432" w:val="right" w:leader="dot"/>
        </w:tabs>
      </w:pPr>
      <w:hyperlink w:anchor="mv2_h_0060" w:history="1">
        <w:r>
          <w:rPr>
            <w:rFonts w:ascii="Carlito" w:hAnsi="Carlito"/>
            <w:color w:val="44515C"/>
          </w:rPr>
          <w:t>6.9 Caching and Scheduling</w:t>
        </w:r>
      </w:hyperlink>
      <w:r>
        <w:tab/>
      </w:r>
      <w:r>
        <w:rPr>
          <w:rFonts w:ascii="Carlito" w:hAnsi="Carlito" w:eastAsia="Carlito"/>
          <w:b w:val="0"/>
          <w:color w:val="44515C"/>
          <w:sz w:val="16"/>
        </w:rPr>
        <w:fldChar w:fldCharType="begin"/>
        <w:instrText xml:space="preserve"> PAGEREF mv2_h_0060 \h </w:instrText>
        <w:fldChar w:fldCharType="separate"/>
        <w:t>0</w:t>
        <w:fldChar w:fldCharType="end"/>
      </w:r>
    </w:p>
    <w:p>
      <w:pPr>
        <w:pStyle w:val="TOC1"/>
        <w:tabs>
          <w:tab w:pos="9432" w:val="right" w:leader="dot"/>
        </w:tabs>
      </w:pPr>
      <w:hyperlink w:anchor="mv2_h_0061" w:history="1">
        <w:r>
          <w:rPr>
            <w:rFonts w:ascii="Carlito" w:hAnsi="Carlito"/>
            <w:color w:val="17324D"/>
          </w:rPr>
          <w:t>7. Security, Authentication, Authorization, and Multi-Tenancy</w:t>
        </w:r>
      </w:hyperlink>
      <w:r>
        <w:tab/>
      </w:r>
      <w:r>
        <w:rPr>
          <w:rFonts w:ascii="Carlito" w:hAnsi="Carlito" w:eastAsia="Carlito"/>
          <w:b/>
          <w:color w:val="17324D"/>
          <w:sz w:val="17"/>
        </w:rPr>
        <w:fldChar w:fldCharType="begin"/>
        <w:instrText xml:space="preserve"> PAGEREF mv2_h_0061 \h </w:instrText>
        <w:fldChar w:fldCharType="separate"/>
        <w:t>0</w:t>
        <w:fldChar w:fldCharType="end"/>
      </w:r>
    </w:p>
    <w:p>
      <w:pPr>
        <w:pStyle w:val="TOC2"/>
        <w:tabs>
          <w:tab w:pos="9432" w:val="right" w:leader="dot"/>
        </w:tabs>
      </w:pPr>
      <w:hyperlink w:anchor="mv2_h_0062" w:history="1">
        <w:r>
          <w:rPr>
            <w:rFonts w:ascii="Carlito" w:hAnsi="Carlito"/>
            <w:color w:val="44515C"/>
          </w:rPr>
          <w:t>7.1 Security Model Overview</w:t>
        </w:r>
      </w:hyperlink>
      <w:r>
        <w:tab/>
      </w:r>
      <w:r>
        <w:rPr>
          <w:rFonts w:ascii="Carlito" w:hAnsi="Carlito" w:eastAsia="Carlito"/>
          <w:b w:val="0"/>
          <w:color w:val="44515C"/>
          <w:sz w:val="16"/>
        </w:rPr>
        <w:fldChar w:fldCharType="begin"/>
        <w:instrText xml:space="preserve"> PAGEREF mv2_h_0062 \h </w:instrText>
        <w:fldChar w:fldCharType="separate"/>
        <w:t>0</w:t>
        <w:fldChar w:fldCharType="end"/>
      </w:r>
    </w:p>
    <w:p>
      <w:pPr>
        <w:pStyle w:val="TOC2"/>
        <w:tabs>
          <w:tab w:pos="9432" w:val="right" w:leader="dot"/>
        </w:tabs>
      </w:pPr>
      <w:hyperlink w:anchor="mv2_h_0063" w:history="1">
        <w:r>
          <w:rPr>
            <w:rFonts w:ascii="Carlito" w:hAnsi="Carlito"/>
            <w:color w:val="44515C"/>
          </w:rPr>
          <w:t>7.2 Authentication Endpoints</w:t>
        </w:r>
      </w:hyperlink>
      <w:r>
        <w:tab/>
      </w:r>
      <w:r>
        <w:rPr>
          <w:rFonts w:ascii="Carlito" w:hAnsi="Carlito" w:eastAsia="Carlito"/>
          <w:b w:val="0"/>
          <w:color w:val="44515C"/>
          <w:sz w:val="16"/>
        </w:rPr>
        <w:fldChar w:fldCharType="begin"/>
        <w:instrText xml:space="preserve"> PAGEREF mv2_h_0063 \h </w:instrText>
        <w:fldChar w:fldCharType="separate"/>
        <w:t>0</w:t>
        <w:fldChar w:fldCharType="end"/>
      </w:r>
    </w:p>
    <w:p>
      <w:pPr>
        <w:pStyle w:val="TOC2"/>
        <w:tabs>
          <w:tab w:pos="9432" w:val="right" w:leader="dot"/>
        </w:tabs>
      </w:pPr>
      <w:hyperlink w:anchor="mv2_h_0064" w:history="1">
        <w:r>
          <w:rPr>
            <w:rFonts w:ascii="Carlito" w:hAnsi="Carlito"/>
            <w:color w:val="44515C"/>
          </w:rPr>
          <w:t>7.3 JWT Validation</w:t>
        </w:r>
      </w:hyperlink>
      <w:r>
        <w:tab/>
      </w:r>
      <w:r>
        <w:rPr>
          <w:rFonts w:ascii="Carlito" w:hAnsi="Carlito" w:eastAsia="Carlito"/>
          <w:b w:val="0"/>
          <w:color w:val="44515C"/>
          <w:sz w:val="16"/>
        </w:rPr>
        <w:fldChar w:fldCharType="begin"/>
        <w:instrText xml:space="preserve"> PAGEREF mv2_h_0064 \h </w:instrText>
        <w:fldChar w:fldCharType="separate"/>
        <w:t>0</w:t>
        <w:fldChar w:fldCharType="end"/>
      </w:r>
    </w:p>
    <w:p>
      <w:pPr>
        <w:pStyle w:val="TOC2"/>
        <w:tabs>
          <w:tab w:pos="9432" w:val="right" w:leader="dot"/>
        </w:tabs>
      </w:pPr>
      <w:hyperlink w:anchor="mv2_h_0065" w:history="1">
        <w:r>
          <w:rPr>
            <w:rFonts w:ascii="Carlito" w:hAnsi="Carlito"/>
            <w:color w:val="44515C"/>
          </w:rPr>
          <w:t>7.4 Access and Refresh Tokens</w:t>
        </w:r>
      </w:hyperlink>
      <w:r>
        <w:tab/>
      </w:r>
      <w:r>
        <w:rPr>
          <w:rFonts w:ascii="Carlito" w:hAnsi="Carlito" w:eastAsia="Carlito"/>
          <w:b w:val="0"/>
          <w:color w:val="44515C"/>
          <w:sz w:val="16"/>
        </w:rPr>
        <w:fldChar w:fldCharType="begin"/>
        <w:instrText xml:space="preserve"> PAGEREF mv2_h_0065 \h </w:instrText>
        <w:fldChar w:fldCharType="separate"/>
        <w:t>0</w:t>
        <w:fldChar w:fldCharType="end"/>
      </w:r>
    </w:p>
    <w:p>
      <w:pPr>
        <w:pStyle w:val="TOC2"/>
        <w:tabs>
          <w:tab w:pos="9432" w:val="right" w:leader="dot"/>
        </w:tabs>
      </w:pPr>
      <w:hyperlink w:anchor="mv2_h_0066" w:history="1">
        <w:r>
          <w:rPr>
            <w:rFonts w:ascii="Carlito" w:hAnsi="Carlito"/>
            <w:color w:val="44515C"/>
          </w:rPr>
          <w:t>7.5 CSRF Protection</w:t>
        </w:r>
      </w:hyperlink>
      <w:r>
        <w:tab/>
      </w:r>
      <w:r>
        <w:rPr>
          <w:rFonts w:ascii="Carlito" w:hAnsi="Carlito" w:eastAsia="Carlito"/>
          <w:b w:val="0"/>
          <w:color w:val="44515C"/>
          <w:sz w:val="16"/>
        </w:rPr>
        <w:fldChar w:fldCharType="begin"/>
        <w:instrText xml:space="preserve"> PAGEREF mv2_h_0066 \h </w:instrText>
        <w:fldChar w:fldCharType="separate"/>
        <w:t>0</w:t>
        <w:fldChar w:fldCharType="end"/>
      </w:r>
    </w:p>
    <w:p>
      <w:pPr>
        <w:pStyle w:val="TOC2"/>
        <w:tabs>
          <w:tab w:pos="9432" w:val="right" w:leader="dot"/>
        </w:tabs>
      </w:pPr>
      <w:hyperlink w:anchor="mv2_h_0067" w:history="1">
        <w:r>
          <w:rPr>
            <w:rFonts w:ascii="Carlito" w:hAnsi="Carlito"/>
            <w:color w:val="44515C"/>
          </w:rPr>
          <w:t>7.6 HTTP Authorization Rules</w:t>
        </w:r>
      </w:hyperlink>
      <w:r>
        <w:tab/>
      </w:r>
      <w:r>
        <w:rPr>
          <w:rFonts w:ascii="Carlito" w:hAnsi="Carlito" w:eastAsia="Carlito"/>
          <w:b w:val="0"/>
          <w:color w:val="44515C"/>
          <w:sz w:val="16"/>
        </w:rPr>
        <w:fldChar w:fldCharType="begin"/>
        <w:instrText xml:space="preserve"> PAGEREF mv2_h_0067 \h </w:instrText>
        <w:fldChar w:fldCharType="separate"/>
        <w:t>0</w:t>
        <w:fldChar w:fldCharType="end"/>
      </w:r>
    </w:p>
    <w:p>
      <w:pPr>
        <w:pStyle w:val="TOC2"/>
        <w:tabs>
          <w:tab w:pos="9432" w:val="right" w:leader="dot"/>
        </w:tabs>
      </w:pPr>
      <w:hyperlink w:anchor="mv2_h_0068" w:history="1">
        <w:r>
          <w:rPr>
            <w:rFonts w:ascii="Carlito" w:hAnsi="Carlito"/>
            <w:color w:val="44515C"/>
          </w:rPr>
          <w:t>7.7 Method-Level Authorization</w:t>
        </w:r>
      </w:hyperlink>
      <w:r>
        <w:tab/>
      </w:r>
      <w:r>
        <w:rPr>
          <w:rFonts w:ascii="Carlito" w:hAnsi="Carlito" w:eastAsia="Carlito"/>
          <w:b w:val="0"/>
          <w:color w:val="44515C"/>
          <w:sz w:val="16"/>
        </w:rPr>
        <w:fldChar w:fldCharType="begin"/>
        <w:instrText xml:space="preserve"> PAGEREF mv2_h_0068 \h </w:instrText>
        <w:fldChar w:fldCharType="separate"/>
        <w:t>0</w:t>
        <w:fldChar w:fldCharType="end"/>
      </w:r>
    </w:p>
    <w:p>
      <w:pPr>
        <w:pStyle w:val="TOC2"/>
        <w:tabs>
          <w:tab w:pos="9432" w:val="right" w:leader="dot"/>
        </w:tabs>
      </w:pPr>
      <w:hyperlink w:anchor="mv2_h_0069" w:history="1">
        <w:r>
          <w:rPr>
            <w:rFonts w:ascii="Carlito" w:hAnsi="Carlito"/>
            <w:color w:val="44515C"/>
          </w:rPr>
          <w:t>7.8 Operator-Aware Identity</w:t>
        </w:r>
      </w:hyperlink>
      <w:r>
        <w:tab/>
      </w:r>
      <w:r>
        <w:rPr>
          <w:rFonts w:ascii="Carlito" w:hAnsi="Carlito" w:eastAsia="Carlito"/>
          <w:b w:val="0"/>
          <w:color w:val="44515C"/>
          <w:sz w:val="16"/>
        </w:rPr>
        <w:fldChar w:fldCharType="begin"/>
        <w:instrText xml:space="preserve"> PAGEREF mv2_h_0069 \h </w:instrText>
        <w:fldChar w:fldCharType="separate"/>
        <w:t>0</w:t>
        <w:fldChar w:fldCharType="end"/>
      </w:r>
    </w:p>
    <w:p>
      <w:pPr>
        <w:pStyle w:val="TOC2"/>
        <w:tabs>
          <w:tab w:pos="9432" w:val="right" w:leader="dot"/>
        </w:tabs>
      </w:pPr>
      <w:hyperlink w:anchor="mv2_h_0070" w:history="1">
        <w:r>
          <w:rPr>
            <w:rFonts w:ascii="Carlito" w:hAnsi="Carlito"/>
            <w:color w:val="44515C"/>
          </w:rPr>
          <w:t>7.9 Data Isolation Patterns</w:t>
        </w:r>
      </w:hyperlink>
      <w:r>
        <w:tab/>
      </w:r>
      <w:r>
        <w:rPr>
          <w:rFonts w:ascii="Carlito" w:hAnsi="Carlito" w:eastAsia="Carlito"/>
          <w:b w:val="0"/>
          <w:color w:val="44515C"/>
          <w:sz w:val="16"/>
        </w:rPr>
        <w:fldChar w:fldCharType="begin"/>
        <w:instrText xml:space="preserve"> PAGEREF mv2_h_0070 \h </w:instrText>
        <w:fldChar w:fldCharType="separate"/>
        <w:t>0</w:t>
        <w:fldChar w:fldCharType="end"/>
      </w:r>
    </w:p>
    <w:p>
      <w:pPr>
        <w:pStyle w:val="TOC2"/>
        <w:tabs>
          <w:tab w:pos="9432" w:val="right" w:leader="dot"/>
        </w:tabs>
      </w:pPr>
      <w:hyperlink w:anchor="mv2_h_0071" w:history="1">
        <w:r>
          <w:rPr>
            <w:rFonts w:ascii="Carlito" w:hAnsi="Carlito"/>
            <w:color w:val="44515C"/>
          </w:rPr>
          <w:t>7.10 Device Authentication</w:t>
        </w:r>
      </w:hyperlink>
      <w:r>
        <w:tab/>
      </w:r>
      <w:r>
        <w:rPr>
          <w:rFonts w:ascii="Carlito" w:hAnsi="Carlito" w:eastAsia="Carlito"/>
          <w:b w:val="0"/>
          <w:color w:val="44515C"/>
          <w:sz w:val="16"/>
        </w:rPr>
        <w:fldChar w:fldCharType="begin"/>
        <w:instrText xml:space="preserve"> PAGEREF mv2_h_0071 \h </w:instrText>
        <w:fldChar w:fldCharType="separate"/>
        <w:t>0</w:t>
        <w:fldChar w:fldCharType="end"/>
      </w:r>
    </w:p>
    <w:p>
      <w:pPr>
        <w:pStyle w:val="TOC2"/>
        <w:tabs>
          <w:tab w:pos="9432" w:val="right" w:leader="dot"/>
        </w:tabs>
      </w:pPr>
      <w:hyperlink w:anchor="mv2_h_0072" w:history="1">
        <w:r>
          <w:rPr>
            <w:rFonts w:ascii="Carlito" w:hAnsi="Carlito"/>
            <w:color w:val="44515C"/>
          </w:rPr>
          <w:t>7.11 Internal Read-Synchronization Authentication</w:t>
        </w:r>
      </w:hyperlink>
      <w:r>
        <w:tab/>
      </w:r>
      <w:r>
        <w:rPr>
          <w:rFonts w:ascii="Carlito" w:hAnsi="Carlito" w:eastAsia="Carlito"/>
          <w:b w:val="0"/>
          <w:color w:val="44515C"/>
          <w:sz w:val="16"/>
        </w:rPr>
        <w:fldChar w:fldCharType="begin"/>
        <w:instrText xml:space="preserve"> PAGEREF mv2_h_0072 \h </w:instrText>
        <w:fldChar w:fldCharType="separate"/>
        <w:t>0</w:t>
        <w:fldChar w:fldCharType="end"/>
      </w:r>
    </w:p>
    <w:p>
      <w:pPr>
        <w:pStyle w:val="TOC1"/>
        <w:tabs>
          <w:tab w:pos="9432" w:val="right" w:leader="dot"/>
        </w:tabs>
      </w:pPr>
      <w:hyperlink w:anchor="mv2_h_0076" w:history="1">
        <w:r>
          <w:rPr>
            <w:rFonts w:ascii="Carlito" w:hAnsi="Carlito"/>
            <w:color w:val="17324D"/>
          </w:rPr>
          <w:t>8. Domain and Supporting Modules</w:t>
        </w:r>
      </w:hyperlink>
      <w:r>
        <w:tab/>
      </w:r>
      <w:r>
        <w:rPr>
          <w:rFonts w:ascii="Carlito" w:hAnsi="Carlito" w:eastAsia="Carlito"/>
          <w:b/>
          <w:color w:val="17324D"/>
          <w:sz w:val="17"/>
        </w:rPr>
        <w:fldChar w:fldCharType="begin"/>
        <w:instrText xml:space="preserve"> PAGEREF mv2_h_0076 \h </w:instrText>
        <w:fldChar w:fldCharType="separate"/>
        <w:t>0</w:t>
        <w:fldChar w:fldCharType="end"/>
      </w:r>
    </w:p>
    <w:p>
      <w:pPr>
        <w:pStyle w:val="TOC2"/>
        <w:tabs>
          <w:tab w:pos="9432" w:val="right" w:leader="dot"/>
        </w:tabs>
      </w:pPr>
      <w:hyperlink w:anchor="mv2_h_0077" w:history="1">
        <w:r>
          <w:rPr>
            <w:rFonts w:ascii="Carlito" w:hAnsi="Carlito"/>
            <w:color w:val="44515C"/>
          </w:rPr>
          <w:t>8.1 Reading the Module Catalog</w:t>
        </w:r>
      </w:hyperlink>
      <w:r>
        <w:tab/>
      </w:r>
      <w:r>
        <w:rPr>
          <w:rFonts w:ascii="Carlito" w:hAnsi="Carlito" w:eastAsia="Carlito"/>
          <w:b w:val="0"/>
          <w:color w:val="44515C"/>
          <w:sz w:val="16"/>
        </w:rPr>
        <w:fldChar w:fldCharType="begin"/>
        <w:instrText xml:space="preserve"> PAGEREF mv2_h_0077 \h </w:instrText>
        <w:fldChar w:fldCharType="separate"/>
        <w:t>0</w:t>
        <w:fldChar w:fldCharType="end"/>
      </w:r>
    </w:p>
    <w:p>
      <w:pPr>
        <w:pStyle w:val="TOC2"/>
        <w:tabs>
          <w:tab w:pos="9432" w:val="right" w:leader="dot"/>
        </w:tabs>
      </w:pPr>
      <w:hyperlink w:anchor="mv2_h_0078" w:history="1">
        <w:r>
          <w:rPr>
            <w:rFonts w:ascii="Carlito" w:hAnsi="Carlito"/>
            <w:color w:val="44515C"/>
          </w:rPr>
          <w:t>8.2 Application</w:t>
        </w:r>
      </w:hyperlink>
      <w:r>
        <w:tab/>
      </w:r>
      <w:r>
        <w:rPr>
          <w:rFonts w:ascii="Carlito" w:hAnsi="Carlito" w:eastAsia="Carlito"/>
          <w:b w:val="0"/>
          <w:color w:val="44515C"/>
          <w:sz w:val="16"/>
        </w:rPr>
        <w:fldChar w:fldCharType="begin"/>
        <w:instrText xml:space="preserve"> PAGEREF mv2_h_0078 \h </w:instrText>
        <w:fldChar w:fldCharType="separate"/>
        <w:t>0</w:t>
        <w:fldChar w:fldCharType="end"/>
      </w:r>
    </w:p>
    <w:p>
      <w:pPr>
        <w:pStyle w:val="TOC2"/>
        <w:tabs>
          <w:tab w:pos="9432" w:val="right" w:leader="dot"/>
        </w:tabs>
      </w:pPr>
      <w:hyperlink w:anchor="mv2_h_0082" w:history="1">
        <w:r>
          <w:rPr>
            <w:rFonts w:ascii="Carlito" w:hAnsi="Carlito"/>
            <w:color w:val="44515C"/>
          </w:rPr>
          <w:t>8.3 Authorization</w:t>
        </w:r>
      </w:hyperlink>
      <w:r>
        <w:tab/>
      </w:r>
      <w:r>
        <w:rPr>
          <w:rFonts w:ascii="Carlito" w:hAnsi="Carlito" w:eastAsia="Carlito"/>
          <w:b w:val="0"/>
          <w:color w:val="44515C"/>
          <w:sz w:val="16"/>
        </w:rPr>
        <w:fldChar w:fldCharType="begin"/>
        <w:instrText xml:space="preserve"> PAGEREF mv2_h_0082 \h </w:instrText>
        <w:fldChar w:fldCharType="separate"/>
        <w:t>0</w:t>
        <w:fldChar w:fldCharType="end"/>
      </w:r>
    </w:p>
    <w:p>
      <w:pPr>
        <w:pStyle w:val="TOC2"/>
        <w:tabs>
          <w:tab w:pos="9432" w:val="right" w:leader="dot"/>
        </w:tabs>
      </w:pPr>
      <w:hyperlink w:anchor="mv2_h_0086" w:history="1">
        <w:r>
          <w:rPr>
            <w:rFonts w:ascii="Carlito" w:hAnsi="Carlito"/>
            <w:color w:val="44515C"/>
          </w:rPr>
          <w:t>8.4 OrganisationStructure</w:t>
        </w:r>
      </w:hyperlink>
      <w:r>
        <w:tab/>
      </w:r>
      <w:r>
        <w:rPr>
          <w:rFonts w:ascii="Carlito" w:hAnsi="Carlito" w:eastAsia="Carlito"/>
          <w:b w:val="0"/>
          <w:color w:val="44515C"/>
          <w:sz w:val="16"/>
        </w:rPr>
        <w:fldChar w:fldCharType="begin"/>
        <w:instrText xml:space="preserve"> PAGEREF mv2_h_0086 \h </w:instrText>
        <w:fldChar w:fldCharType="separate"/>
        <w:t>0</w:t>
        <w:fldChar w:fldCharType="end"/>
      </w:r>
    </w:p>
    <w:p>
      <w:pPr>
        <w:pStyle w:val="TOC2"/>
        <w:tabs>
          <w:tab w:pos="9432" w:val="right" w:leader="dot"/>
        </w:tabs>
      </w:pPr>
      <w:hyperlink w:anchor="mv2_h_0089" w:history="1">
        <w:r>
          <w:rPr>
            <w:rFonts w:ascii="Carlito" w:hAnsi="Carlito"/>
            <w:color w:val="44515C"/>
          </w:rPr>
          <w:t>8.5 DepartmentService</w:t>
        </w:r>
      </w:hyperlink>
      <w:r>
        <w:tab/>
      </w:r>
      <w:r>
        <w:rPr>
          <w:rFonts w:ascii="Carlito" w:hAnsi="Carlito" w:eastAsia="Carlito"/>
          <w:b w:val="0"/>
          <w:color w:val="44515C"/>
          <w:sz w:val="16"/>
        </w:rPr>
        <w:fldChar w:fldCharType="begin"/>
        <w:instrText xml:space="preserve"> PAGEREF mv2_h_0089 \h </w:instrText>
        <w:fldChar w:fldCharType="separate"/>
        <w:t>0</w:t>
        <w:fldChar w:fldCharType="end"/>
      </w:r>
    </w:p>
    <w:p>
      <w:pPr>
        <w:pStyle w:val="TOC2"/>
        <w:tabs>
          <w:tab w:pos="9432" w:val="right" w:leader="dot"/>
        </w:tabs>
      </w:pPr>
      <w:hyperlink w:anchor="mv2_h_0092" w:history="1">
        <w:r>
          <w:rPr>
            <w:rFonts w:ascii="Carlito" w:hAnsi="Carlito"/>
            <w:color w:val="44515C"/>
          </w:rPr>
          <w:t>8.6 ShipmentManagement</w:t>
        </w:r>
      </w:hyperlink>
      <w:r>
        <w:tab/>
      </w:r>
      <w:r>
        <w:rPr>
          <w:rFonts w:ascii="Carlito" w:hAnsi="Carlito" w:eastAsia="Carlito"/>
          <w:b w:val="0"/>
          <w:color w:val="44515C"/>
          <w:sz w:val="16"/>
        </w:rPr>
        <w:fldChar w:fldCharType="begin"/>
        <w:instrText xml:space="preserve"> PAGEREF mv2_h_0092 \h </w:instrText>
        <w:fldChar w:fldCharType="separate"/>
        <w:t>0</w:t>
        <w:fldChar w:fldCharType="end"/>
      </w:r>
    </w:p>
    <w:p>
      <w:pPr>
        <w:pStyle w:val="TOC2"/>
        <w:tabs>
          <w:tab w:pos="9432" w:val="right" w:leader="dot"/>
        </w:tabs>
      </w:pPr>
      <w:hyperlink w:anchor="mv2_h_0097" w:history="1">
        <w:r>
          <w:rPr>
            <w:rFonts w:ascii="Carlito" w:hAnsi="Carlito"/>
            <w:color w:val="44515C"/>
          </w:rPr>
          <w:t>8.7 DeliveryOperation</w:t>
        </w:r>
      </w:hyperlink>
      <w:r>
        <w:tab/>
      </w:r>
      <w:r>
        <w:rPr>
          <w:rFonts w:ascii="Carlito" w:hAnsi="Carlito" w:eastAsia="Carlito"/>
          <w:b w:val="0"/>
          <w:color w:val="44515C"/>
          <w:sz w:val="16"/>
        </w:rPr>
        <w:fldChar w:fldCharType="begin"/>
        <w:instrText xml:space="preserve"> PAGEREF mv2_h_0097 \h </w:instrText>
        <w:fldChar w:fldCharType="separate"/>
        <w:t>0</w:t>
        <w:fldChar w:fldCharType="end"/>
      </w:r>
    </w:p>
    <w:p>
      <w:pPr>
        <w:pStyle w:val="TOC2"/>
        <w:tabs>
          <w:tab w:pos="9432" w:val="right" w:leader="dot"/>
        </w:tabs>
      </w:pPr>
      <w:hyperlink w:anchor="mv2_h_0100" w:history="1">
        <w:r>
          <w:rPr>
            <w:rFonts w:ascii="Carlito" w:hAnsi="Carlito"/>
            <w:color w:val="44515C"/>
          </w:rPr>
          <w:t>8.8 LogisticsOrchestrator</w:t>
        </w:r>
      </w:hyperlink>
      <w:r>
        <w:tab/>
      </w:r>
      <w:r>
        <w:rPr>
          <w:rFonts w:ascii="Carlito" w:hAnsi="Carlito" w:eastAsia="Carlito"/>
          <w:b w:val="0"/>
          <w:color w:val="44515C"/>
          <w:sz w:val="16"/>
        </w:rPr>
        <w:fldChar w:fldCharType="begin"/>
        <w:instrText xml:space="preserve"> PAGEREF mv2_h_0100 \h </w:instrText>
        <w:fldChar w:fldCharType="separate"/>
        <w:t>0</w:t>
        <w:fldChar w:fldCharType="end"/>
      </w:r>
    </w:p>
    <w:p>
      <w:pPr>
        <w:pStyle w:val="TOC2"/>
        <w:tabs>
          <w:tab w:pos="9432" w:val="right" w:leader="dot"/>
        </w:tabs>
      </w:pPr>
      <w:hyperlink w:anchor="mv2_h_0103" w:history="1">
        <w:r>
          <w:rPr>
            <w:rFonts w:ascii="Carlito" w:hAnsi="Carlito"/>
            <w:color w:val="44515C"/>
          </w:rPr>
          <w:t>8.9 ProcessHub</w:t>
        </w:r>
      </w:hyperlink>
      <w:r>
        <w:tab/>
      </w:r>
      <w:r>
        <w:rPr>
          <w:rFonts w:ascii="Carlito" w:hAnsi="Carlito" w:eastAsia="Carlito"/>
          <w:b w:val="0"/>
          <w:color w:val="44515C"/>
          <w:sz w:val="16"/>
        </w:rPr>
        <w:fldChar w:fldCharType="begin"/>
        <w:instrText xml:space="preserve"> PAGEREF mv2_h_0103 \h </w:instrText>
        <w:fldChar w:fldCharType="separate"/>
        <w:t>0</w:t>
        <w:fldChar w:fldCharType="end"/>
      </w:r>
    </w:p>
    <w:p>
      <w:pPr>
        <w:pStyle w:val="TOC2"/>
        <w:tabs>
          <w:tab w:pos="9432" w:val="right" w:leader="dot"/>
        </w:tabs>
      </w:pPr>
      <w:hyperlink w:anchor="mv2_h_0104" w:history="1">
        <w:r>
          <w:rPr>
            <w:rFonts w:ascii="Carlito" w:hAnsi="Carlito"/>
            <w:color w:val="44515C"/>
          </w:rPr>
          <w:t>8.10 CrossLogistics</w:t>
        </w:r>
      </w:hyperlink>
      <w:r>
        <w:tab/>
      </w:r>
      <w:r>
        <w:rPr>
          <w:rFonts w:ascii="Carlito" w:hAnsi="Carlito" w:eastAsia="Carlito"/>
          <w:b w:val="0"/>
          <w:color w:val="44515C"/>
          <w:sz w:val="16"/>
        </w:rPr>
        <w:fldChar w:fldCharType="begin"/>
        <w:instrText xml:space="preserve"> PAGEREF mv2_h_0104 \h </w:instrText>
        <w:fldChar w:fldCharType="separate"/>
        <w:t>0</w:t>
        <w:fldChar w:fldCharType="end"/>
      </w:r>
    </w:p>
    <w:p>
      <w:pPr>
        <w:pStyle w:val="TOC2"/>
        <w:tabs>
          <w:tab w:pos="9432" w:val="right" w:leader="dot"/>
        </w:tabs>
      </w:pPr>
      <w:hyperlink w:anchor="mv2_h_0105" w:history="1">
        <w:r>
          <w:rPr>
            <w:rFonts w:ascii="Carlito" w:hAnsi="Carlito"/>
            <w:color w:val="44515C"/>
          </w:rPr>
          <w:t>8.11 Device</w:t>
        </w:r>
      </w:hyperlink>
      <w:r>
        <w:tab/>
      </w:r>
      <w:r>
        <w:rPr>
          <w:rFonts w:ascii="Carlito" w:hAnsi="Carlito" w:eastAsia="Carlito"/>
          <w:b w:val="0"/>
          <w:color w:val="44515C"/>
          <w:sz w:val="16"/>
        </w:rPr>
        <w:fldChar w:fldCharType="begin"/>
        <w:instrText xml:space="preserve"> PAGEREF mv2_h_0105 \h </w:instrText>
        <w:fldChar w:fldCharType="separate"/>
        <w:t>0</w:t>
        <w:fldChar w:fldCharType="end"/>
      </w:r>
    </w:p>
    <w:p>
      <w:pPr>
        <w:pStyle w:val="TOC2"/>
        <w:tabs>
          <w:tab w:pos="9432" w:val="right" w:leader="dot"/>
        </w:tabs>
      </w:pPr>
      <w:hyperlink w:anchor="mv2_h_0108" w:history="1">
        <w:r>
          <w:rPr>
            <w:rFonts w:ascii="Carlito" w:hAnsi="Carlito"/>
            <w:color w:val="44515C"/>
          </w:rPr>
          <w:t>8.12 SupplierServiceManagement</w:t>
        </w:r>
      </w:hyperlink>
      <w:r>
        <w:tab/>
      </w:r>
      <w:r>
        <w:rPr>
          <w:rFonts w:ascii="Carlito" w:hAnsi="Carlito" w:eastAsia="Carlito"/>
          <w:b w:val="0"/>
          <w:color w:val="44515C"/>
          <w:sz w:val="16"/>
        </w:rPr>
        <w:fldChar w:fldCharType="begin"/>
        <w:instrText xml:space="preserve"> PAGEREF mv2_h_0108 \h </w:instrText>
        <w:fldChar w:fldCharType="separate"/>
        <w:t>0</w:t>
        <w:fldChar w:fldCharType="end"/>
      </w:r>
    </w:p>
    <w:p>
      <w:pPr>
        <w:pStyle w:val="TOC2"/>
        <w:tabs>
          <w:tab w:pos="9432" w:val="right" w:leader="dot"/>
        </w:tabs>
      </w:pPr>
      <w:hyperlink w:anchor="mv2_h_0109" w:history="1">
        <w:r>
          <w:rPr>
            <w:rFonts w:ascii="Carlito" w:hAnsi="Carlito"/>
            <w:color w:val="44515C"/>
          </w:rPr>
          <w:t>8.13 TransportAssets</w:t>
        </w:r>
      </w:hyperlink>
      <w:r>
        <w:tab/>
      </w:r>
      <w:r>
        <w:rPr>
          <w:rFonts w:ascii="Carlito" w:hAnsi="Carlito" w:eastAsia="Carlito"/>
          <w:b w:val="0"/>
          <w:color w:val="44515C"/>
          <w:sz w:val="16"/>
        </w:rPr>
        <w:fldChar w:fldCharType="begin"/>
        <w:instrText xml:space="preserve"> PAGEREF mv2_h_0109 \h </w:instrText>
        <w:fldChar w:fldCharType="separate"/>
        <w:t>0</w:t>
        <w:fldChar w:fldCharType="end"/>
      </w:r>
    </w:p>
    <w:p>
      <w:pPr>
        <w:pStyle w:val="TOC2"/>
        <w:tabs>
          <w:tab w:pos="9432" w:val="right" w:leader="dot"/>
        </w:tabs>
      </w:pPr>
      <w:hyperlink w:anchor="mv2_h_0110" w:history="1">
        <w:r>
          <w:rPr>
            <w:rFonts w:ascii="Carlito" w:hAnsi="Carlito"/>
            <w:color w:val="44515C"/>
          </w:rPr>
          <w:t>8.14 DriverHub</w:t>
        </w:r>
      </w:hyperlink>
      <w:r>
        <w:tab/>
      </w:r>
      <w:r>
        <w:rPr>
          <w:rFonts w:ascii="Carlito" w:hAnsi="Carlito" w:eastAsia="Carlito"/>
          <w:b w:val="0"/>
          <w:color w:val="44515C"/>
          <w:sz w:val="16"/>
        </w:rPr>
        <w:fldChar w:fldCharType="begin"/>
        <w:instrText xml:space="preserve"> PAGEREF mv2_h_0110 \h </w:instrText>
        <w:fldChar w:fldCharType="separate"/>
        <w:t>0</w:t>
        <w:fldChar w:fldCharType="end"/>
      </w:r>
    </w:p>
    <w:p>
      <w:pPr>
        <w:pStyle w:val="TOC2"/>
        <w:tabs>
          <w:tab w:pos="9432" w:val="right" w:leader="dot"/>
        </w:tabs>
      </w:pPr>
      <w:hyperlink w:anchor="mv2_h_0111" w:history="1">
        <w:r>
          <w:rPr>
            <w:rFonts w:ascii="Carlito" w:hAnsi="Carlito"/>
            <w:color w:val="44515C"/>
          </w:rPr>
          <w:t>8.15 PathFinder</w:t>
        </w:r>
      </w:hyperlink>
      <w:r>
        <w:tab/>
      </w:r>
      <w:r>
        <w:rPr>
          <w:rFonts w:ascii="Carlito" w:hAnsi="Carlito" w:eastAsia="Carlito"/>
          <w:b w:val="0"/>
          <w:color w:val="44515C"/>
          <w:sz w:val="16"/>
        </w:rPr>
        <w:fldChar w:fldCharType="begin"/>
        <w:instrText xml:space="preserve"> PAGEREF mv2_h_0111 \h </w:instrText>
        <w:fldChar w:fldCharType="separate"/>
        <w:t>0</w:t>
        <w:fldChar w:fldCharType="end"/>
      </w:r>
    </w:p>
    <w:p>
      <w:pPr>
        <w:pStyle w:val="TOC2"/>
        <w:tabs>
          <w:tab w:pos="9432" w:val="right" w:leader="dot"/>
        </w:tabs>
      </w:pPr>
      <w:hyperlink w:anchor="mv2_h_0112" w:history="1">
        <w:r>
          <w:rPr>
            <w:rFonts w:ascii="Carlito" w:hAnsi="Carlito"/>
            <w:color w:val="44515C"/>
          </w:rPr>
          <w:t>8.16 DestinationDetermination</w:t>
        </w:r>
      </w:hyperlink>
      <w:r>
        <w:tab/>
      </w:r>
      <w:r>
        <w:rPr>
          <w:rFonts w:ascii="Carlito" w:hAnsi="Carlito" w:eastAsia="Carlito"/>
          <w:b w:val="0"/>
          <w:color w:val="44515C"/>
          <w:sz w:val="16"/>
        </w:rPr>
        <w:fldChar w:fldCharType="begin"/>
        <w:instrText xml:space="preserve"> PAGEREF mv2_h_0112 \h </w:instrText>
        <w:fldChar w:fldCharType="separate"/>
        <w:t>0</w:t>
        <w:fldChar w:fldCharType="end"/>
      </w:r>
    </w:p>
    <w:p>
      <w:pPr>
        <w:pStyle w:val="TOC2"/>
        <w:tabs>
          <w:tab w:pos="9432" w:val="right" w:leader="dot"/>
        </w:tabs>
      </w:pPr>
      <w:hyperlink w:anchor="mv2_h_0113" w:history="1">
        <w:r>
          <w:rPr>
            <w:rFonts w:ascii="Carlito" w:hAnsi="Carlito"/>
            <w:color w:val="44515C"/>
          </w:rPr>
          <w:t>8.17 GeocodingService</w:t>
        </w:r>
      </w:hyperlink>
      <w:r>
        <w:tab/>
      </w:r>
      <w:r>
        <w:rPr>
          <w:rFonts w:ascii="Carlito" w:hAnsi="Carlito" w:eastAsia="Carlito"/>
          <w:b w:val="0"/>
          <w:color w:val="44515C"/>
          <w:sz w:val="16"/>
        </w:rPr>
        <w:fldChar w:fldCharType="begin"/>
        <w:instrText xml:space="preserve"> PAGEREF mv2_h_0113 \h </w:instrText>
        <w:fldChar w:fldCharType="separate"/>
        <w:t>0</w:t>
        <w:fldChar w:fldCharType="end"/>
      </w:r>
    </w:p>
    <w:p>
      <w:pPr>
        <w:pStyle w:val="TOC2"/>
        <w:tabs>
          <w:tab w:pos="9432" w:val="right" w:leader="dot"/>
        </w:tabs>
      </w:pPr>
      <w:hyperlink w:anchor="mv2_h_0116" w:history="1">
        <w:r>
          <w:rPr>
            <w:rFonts w:ascii="Carlito" w:hAnsi="Carlito"/>
            <w:color w:val="44515C"/>
          </w:rPr>
          <w:t>8.18 DocumentManager</w:t>
        </w:r>
      </w:hyperlink>
      <w:r>
        <w:tab/>
      </w:r>
      <w:r>
        <w:rPr>
          <w:rFonts w:ascii="Carlito" w:hAnsi="Carlito" w:eastAsia="Carlito"/>
          <w:b w:val="0"/>
          <w:color w:val="44515C"/>
          <w:sz w:val="16"/>
        </w:rPr>
        <w:fldChar w:fldCharType="begin"/>
        <w:instrText xml:space="preserve"> PAGEREF mv2_h_0116 \h </w:instrText>
        <w:fldChar w:fldCharType="separate"/>
        <w:t>0</w:t>
        <w:fldChar w:fldCharType="end"/>
      </w:r>
    </w:p>
    <w:p>
      <w:pPr>
        <w:pStyle w:val="TOC2"/>
        <w:tabs>
          <w:tab w:pos="9432" w:val="right" w:leader="dot"/>
        </w:tabs>
      </w:pPr>
      <w:hyperlink w:anchor="mv2_h_0117" w:history="1">
        <w:r>
          <w:rPr>
            <w:rFonts w:ascii="Carlito" w:hAnsi="Carlito"/>
            <w:color w:val="44515C"/>
          </w:rPr>
          <w:t>8.19 MessageProvider</w:t>
        </w:r>
      </w:hyperlink>
      <w:r>
        <w:tab/>
      </w:r>
      <w:r>
        <w:rPr>
          <w:rFonts w:ascii="Carlito" w:hAnsi="Carlito" w:eastAsia="Carlito"/>
          <w:b w:val="0"/>
          <w:color w:val="44515C"/>
          <w:sz w:val="16"/>
        </w:rPr>
        <w:fldChar w:fldCharType="begin"/>
        <w:instrText xml:space="preserve"> PAGEREF mv2_h_0117 \h </w:instrText>
        <w:fldChar w:fldCharType="separate"/>
        <w:t>0</w:t>
        <w:fldChar w:fldCharType="end"/>
      </w:r>
    </w:p>
    <w:p>
      <w:pPr>
        <w:pStyle w:val="TOC2"/>
        <w:tabs>
          <w:tab w:pos="9432" w:val="right" w:leader="dot"/>
        </w:tabs>
      </w:pPr>
      <w:hyperlink w:anchor="mv2_h_0118" w:history="1">
        <w:r>
          <w:rPr>
            <w:rFonts w:ascii="Carlito" w:hAnsi="Carlito"/>
            <w:color w:val="44515C"/>
          </w:rPr>
          <w:t>8.20 MailService</w:t>
        </w:r>
      </w:hyperlink>
      <w:r>
        <w:tab/>
      </w:r>
      <w:r>
        <w:rPr>
          <w:rFonts w:ascii="Carlito" w:hAnsi="Carlito" w:eastAsia="Carlito"/>
          <w:b w:val="0"/>
          <w:color w:val="44515C"/>
          <w:sz w:val="16"/>
        </w:rPr>
        <w:fldChar w:fldCharType="begin"/>
        <w:instrText xml:space="preserve"> PAGEREF mv2_h_0118 \h </w:instrText>
        <w:fldChar w:fldCharType="separate"/>
        <w:t>0</w:t>
        <w:fldChar w:fldCharType="end"/>
      </w:r>
    </w:p>
    <w:p>
      <w:pPr>
        <w:pStyle w:val="TOC2"/>
        <w:tabs>
          <w:tab w:pos="9432" w:val="right" w:leader="dot"/>
        </w:tabs>
      </w:pPr>
      <w:hyperlink w:anchor="mv2_h_0119" w:history="1">
        <w:r>
          <w:rPr>
            <w:rFonts w:ascii="Carlito" w:hAnsi="Carlito"/>
            <w:color w:val="44515C"/>
          </w:rPr>
          <w:t>8.21 Common</w:t>
        </w:r>
      </w:hyperlink>
      <w:r>
        <w:tab/>
      </w:r>
      <w:r>
        <w:rPr>
          <w:rFonts w:ascii="Carlito" w:hAnsi="Carlito" w:eastAsia="Carlito"/>
          <w:b w:val="0"/>
          <w:color w:val="44515C"/>
          <w:sz w:val="16"/>
        </w:rPr>
        <w:fldChar w:fldCharType="begin"/>
        <w:instrText xml:space="preserve"> PAGEREF mv2_h_0119 \h </w:instrText>
        <w:fldChar w:fldCharType="separate"/>
        <w:t>0</w:t>
        <w:fldChar w:fldCharType="end"/>
      </w:r>
    </w:p>
    <w:p>
      <w:pPr>
        <w:pStyle w:val="TOC2"/>
        <w:tabs>
          <w:tab w:pos="9432" w:val="right" w:leader="dot"/>
        </w:tabs>
      </w:pPr>
      <w:hyperlink w:anchor="mv2_h_0120" w:history="1">
        <w:r>
          <w:rPr>
            <w:rFonts w:ascii="Carlito" w:hAnsi="Carlito"/>
            <w:color w:val="44515C"/>
          </w:rPr>
          <w:t>8.22 Utility</w:t>
        </w:r>
      </w:hyperlink>
      <w:r>
        <w:tab/>
      </w:r>
      <w:r>
        <w:rPr>
          <w:rFonts w:ascii="Carlito" w:hAnsi="Carlito" w:eastAsia="Carlito"/>
          <w:b w:val="0"/>
          <w:color w:val="44515C"/>
          <w:sz w:val="16"/>
        </w:rPr>
        <w:fldChar w:fldCharType="begin"/>
        <w:instrText xml:space="preserve"> PAGEREF mv2_h_0120 \h </w:instrText>
        <w:fldChar w:fldCharType="separate"/>
        <w:t>0</w:t>
        <w:fldChar w:fldCharType="end"/>
      </w:r>
    </w:p>
    <w:p>
      <w:pPr>
        <w:pStyle w:val="TOC2"/>
        <w:tabs>
          <w:tab w:pos="9432" w:val="right" w:leader="dot"/>
        </w:tabs>
      </w:pPr>
      <w:hyperlink w:anchor="mv2_h_0121" w:history="1">
        <w:r>
          <w:rPr>
            <w:rFonts w:ascii="Carlito" w:hAnsi="Carlito"/>
            <w:color w:val="44515C"/>
          </w:rPr>
          <w:t>8.23 AssetConverter</w:t>
        </w:r>
      </w:hyperlink>
      <w:r>
        <w:tab/>
      </w:r>
      <w:r>
        <w:rPr>
          <w:rFonts w:ascii="Carlito" w:hAnsi="Carlito" w:eastAsia="Carlito"/>
          <w:b w:val="0"/>
          <w:color w:val="44515C"/>
          <w:sz w:val="16"/>
        </w:rPr>
        <w:fldChar w:fldCharType="begin"/>
        <w:instrText xml:space="preserve"> PAGEREF mv2_h_0121 \h </w:instrText>
        <w:fldChar w:fldCharType="separate"/>
        <w:t>0</w:t>
        <w:fldChar w:fldCharType="end"/>
      </w:r>
    </w:p>
    <w:p>
      <w:pPr>
        <w:pStyle w:val="TOC2"/>
        <w:tabs>
          <w:tab w:pos="9432" w:val="right" w:leader="dot"/>
        </w:tabs>
      </w:pPr>
      <w:hyperlink w:anchor="mv2_h_0122" w:history="1">
        <w:r>
          <w:rPr>
            <w:rFonts w:ascii="Carlito" w:hAnsi="Carlito"/>
            <w:color w:val="44515C"/>
          </w:rPr>
          <w:t>8.24 ExceptionHandler</w:t>
        </w:r>
      </w:hyperlink>
      <w:r>
        <w:tab/>
      </w:r>
      <w:r>
        <w:rPr>
          <w:rFonts w:ascii="Carlito" w:hAnsi="Carlito" w:eastAsia="Carlito"/>
          <w:b w:val="0"/>
          <w:color w:val="44515C"/>
          <w:sz w:val="16"/>
        </w:rPr>
        <w:fldChar w:fldCharType="begin"/>
        <w:instrText xml:space="preserve"> PAGEREF mv2_h_0122 \h </w:instrText>
        <w:fldChar w:fldCharType="separate"/>
        <w:t>0</w:t>
        <w:fldChar w:fldCharType="end"/>
      </w:r>
    </w:p>
    <w:p>
      <w:pPr>
        <w:pStyle w:val="TOC2"/>
        <w:tabs>
          <w:tab w:pos="9432" w:val="right" w:leader="dot"/>
        </w:tabs>
      </w:pPr>
      <w:hyperlink w:anchor="mv2_h_0123" w:history="1">
        <w:r>
          <w:rPr>
            <w:rFonts w:ascii="Carlito" w:hAnsi="Carlito"/>
            <w:color w:val="44515C"/>
          </w:rPr>
          <w:t>8.25 ManagerTools</w:t>
        </w:r>
      </w:hyperlink>
      <w:r>
        <w:tab/>
      </w:r>
      <w:r>
        <w:rPr>
          <w:rFonts w:ascii="Carlito" w:hAnsi="Carlito" w:eastAsia="Carlito"/>
          <w:b w:val="0"/>
          <w:color w:val="44515C"/>
          <w:sz w:val="16"/>
        </w:rPr>
        <w:fldChar w:fldCharType="begin"/>
        <w:instrText xml:space="preserve"> PAGEREF mv2_h_0123 \h </w:instrText>
        <w:fldChar w:fldCharType="separate"/>
        <w:t>0</w:t>
        <w:fldChar w:fldCharType="end"/>
      </w:r>
    </w:p>
    <w:p>
      <w:pPr>
        <w:pStyle w:val="TOC2"/>
        <w:tabs>
          <w:tab w:pos="9432" w:val="right" w:leader="dot"/>
        </w:tabs>
      </w:pPr>
      <w:hyperlink w:anchor="mv2_h_0124" w:history="1">
        <w:r>
          <w:rPr>
            <w:rFonts w:ascii="Carlito" w:hAnsi="Carlito"/>
            <w:color w:val="44515C"/>
          </w:rPr>
          <w:t>8.26 ArchitectureTest</w:t>
        </w:r>
      </w:hyperlink>
      <w:r>
        <w:tab/>
      </w:r>
      <w:r>
        <w:rPr>
          <w:rFonts w:ascii="Carlito" w:hAnsi="Carlito" w:eastAsia="Carlito"/>
          <w:b w:val="0"/>
          <w:color w:val="44515C"/>
          <w:sz w:val="16"/>
        </w:rPr>
        <w:fldChar w:fldCharType="begin"/>
        <w:instrText xml:space="preserve"> PAGEREF mv2_h_0124 \h </w:instrText>
        <w:fldChar w:fldCharType="separate"/>
        <w:t>0</w:t>
        <w:fldChar w:fldCharType="end"/>
      </w:r>
    </w:p>
    <w:p>
      <w:pPr>
        <w:pStyle w:val="TOC2"/>
        <w:tabs>
          <w:tab w:pos="9432" w:val="right" w:leader="dot"/>
        </w:tabs>
      </w:pPr>
      <w:hyperlink w:anchor="mv2_h_0125" w:history="1">
        <w:r>
          <w:rPr>
            <w:rFonts w:ascii="Carlito" w:hAnsi="Carlito"/>
            <w:color w:val="44515C"/>
          </w:rPr>
          <w:t>8.27 E2E</w:t>
        </w:r>
      </w:hyperlink>
      <w:r>
        <w:tab/>
      </w:r>
      <w:r>
        <w:rPr>
          <w:rFonts w:ascii="Carlito" w:hAnsi="Carlito" w:eastAsia="Carlito"/>
          <w:b w:val="0"/>
          <w:color w:val="44515C"/>
          <w:sz w:val="16"/>
        </w:rPr>
        <w:fldChar w:fldCharType="begin"/>
        <w:instrText xml:space="preserve"> PAGEREF mv2_h_0125 \h </w:instrText>
        <w:fldChar w:fldCharType="separate"/>
        <w:t>0</w:t>
        <w:fldChar w:fldCharType="end"/>
      </w:r>
    </w:p>
    <w:p>
      <w:pPr>
        <w:pStyle w:val="TOC2"/>
        <w:tabs>
          <w:tab w:pos="9432" w:val="right" w:leader="dot"/>
        </w:tabs>
      </w:pPr>
      <w:hyperlink w:anchor="mv2_h_0126" w:history="1">
        <w:r>
          <w:rPr>
            <w:rFonts w:ascii="Carlito" w:hAnsi="Carlito"/>
            <w:color w:val="44515C"/>
          </w:rPr>
          <w:t>8.28 Gateway and EurekaServer</w:t>
        </w:r>
      </w:hyperlink>
      <w:r>
        <w:tab/>
      </w:r>
      <w:r>
        <w:rPr>
          <w:rFonts w:ascii="Carlito" w:hAnsi="Carlito" w:eastAsia="Carlito"/>
          <w:b w:val="0"/>
          <w:color w:val="44515C"/>
          <w:sz w:val="16"/>
        </w:rPr>
        <w:fldChar w:fldCharType="begin"/>
        <w:instrText xml:space="preserve"> PAGEREF mv2_h_0126 \h </w:instrText>
        <w:fldChar w:fldCharType="separate"/>
        <w:t>0</w:t>
        <w:fldChar w:fldCharType="end"/>
      </w:r>
    </w:p>
    <w:p>
      <w:pPr>
        <w:pStyle w:val="TOC2"/>
        <w:tabs>
          <w:tab w:pos="9432" w:val="right" w:leader="dot"/>
        </w:tabs>
      </w:pPr>
      <w:hyperlink w:anchor="mv2_h_0127" w:history="1">
        <w:r>
          <w:rPr>
            <w:rFonts w:ascii="Carlito" w:hAnsi="Carlito"/>
            <w:color w:val="44515C"/>
          </w:rPr>
          <w:t>8.29 Standalone Service Directories</w:t>
        </w:r>
      </w:hyperlink>
      <w:r>
        <w:tab/>
      </w:r>
      <w:r>
        <w:rPr>
          <w:rFonts w:ascii="Carlito" w:hAnsi="Carlito" w:eastAsia="Carlito"/>
          <w:b w:val="0"/>
          <w:color w:val="44515C"/>
          <w:sz w:val="16"/>
        </w:rPr>
        <w:fldChar w:fldCharType="begin"/>
        <w:instrText xml:space="preserve"> PAGEREF mv2_h_0127 \h </w:instrText>
        <w:fldChar w:fldCharType="separate"/>
        <w:t>0</w:t>
        <w:fldChar w:fldCharType="end"/>
      </w:r>
    </w:p>
    <w:p>
      <w:pPr>
        <w:pStyle w:val="TOC1"/>
        <w:tabs>
          <w:tab w:pos="9432" w:val="right" w:leader="dot"/>
        </w:tabs>
      </w:pPr>
      <w:hyperlink w:anchor="mv2_h_0133" w:history="1">
        <w:r>
          <w:rPr>
            <w:rFonts w:ascii="Carlito" w:hAnsi="Carlito"/>
            <w:color w:val="17324D"/>
          </w:rPr>
          <w:t>9. Persistence and Database Evolution</w:t>
        </w:r>
      </w:hyperlink>
      <w:r>
        <w:tab/>
      </w:r>
      <w:r>
        <w:rPr>
          <w:rFonts w:ascii="Carlito" w:hAnsi="Carlito" w:eastAsia="Carlito"/>
          <w:b/>
          <w:color w:val="17324D"/>
          <w:sz w:val="17"/>
        </w:rPr>
        <w:fldChar w:fldCharType="begin"/>
        <w:instrText xml:space="preserve"> PAGEREF mv2_h_0133 \h </w:instrText>
        <w:fldChar w:fldCharType="separate"/>
        <w:t>0</w:t>
        <w:fldChar w:fldCharType="end"/>
      </w:r>
    </w:p>
    <w:p>
      <w:pPr>
        <w:pStyle w:val="TOC2"/>
        <w:tabs>
          <w:tab w:pos="9432" w:val="right" w:leader="dot"/>
        </w:tabs>
      </w:pPr>
      <w:hyperlink w:anchor="mv2_h_0134" w:history="1">
        <w:r>
          <w:rPr>
            <w:rFonts w:ascii="Carlito" w:hAnsi="Carlito"/>
            <w:color w:val="44515C"/>
          </w:rPr>
          <w:t>9.1 Main Persistence Stack</w:t>
        </w:r>
      </w:hyperlink>
      <w:r>
        <w:tab/>
      </w:r>
      <w:r>
        <w:rPr>
          <w:rFonts w:ascii="Carlito" w:hAnsi="Carlito" w:eastAsia="Carlito"/>
          <w:b w:val="0"/>
          <w:color w:val="44515C"/>
          <w:sz w:val="16"/>
        </w:rPr>
        <w:fldChar w:fldCharType="begin"/>
        <w:instrText xml:space="preserve"> PAGEREF mv2_h_0134 \h </w:instrText>
        <w:fldChar w:fldCharType="separate"/>
        <w:t>0</w:t>
        <w:fldChar w:fldCharType="end"/>
      </w:r>
    </w:p>
    <w:p>
      <w:pPr>
        <w:pStyle w:val="TOC2"/>
        <w:tabs>
          <w:tab w:pos="9432" w:val="right" w:leader="dot"/>
        </w:tabs>
      </w:pPr>
      <w:hyperlink w:anchor="mv2_h_0135" w:history="1">
        <w:r>
          <w:rPr>
            <w:rFonts w:ascii="Carlito" w:hAnsi="Carlito"/>
            <w:color w:val="44515C"/>
          </w:rPr>
          <w:t>9.2 Schema Ownership</w:t>
        </w:r>
      </w:hyperlink>
      <w:r>
        <w:tab/>
      </w:r>
      <w:r>
        <w:rPr>
          <w:rFonts w:ascii="Carlito" w:hAnsi="Carlito" w:eastAsia="Carlito"/>
          <w:b w:val="0"/>
          <w:color w:val="44515C"/>
          <w:sz w:val="16"/>
        </w:rPr>
        <w:fldChar w:fldCharType="begin"/>
        <w:instrText xml:space="preserve"> PAGEREF mv2_h_0135 \h </w:instrText>
        <w:fldChar w:fldCharType="separate"/>
        <w:t>0</w:t>
        <w:fldChar w:fldCharType="end"/>
      </w:r>
    </w:p>
    <w:p>
      <w:pPr>
        <w:pStyle w:val="TOC2"/>
        <w:tabs>
          <w:tab w:pos="9432" w:val="right" w:leader="dot"/>
        </w:tabs>
      </w:pPr>
      <w:hyperlink w:anchor="mv2_h_0136" w:history="1">
        <w:r>
          <w:rPr>
            <w:rFonts w:ascii="Carlito" w:hAnsi="Carlito"/>
            <w:color w:val="44515C"/>
          </w:rPr>
          <w:t>9.3 Liquibase Changelog Strategy</w:t>
        </w:r>
      </w:hyperlink>
      <w:r>
        <w:tab/>
      </w:r>
      <w:r>
        <w:rPr>
          <w:rFonts w:ascii="Carlito" w:hAnsi="Carlito" w:eastAsia="Carlito"/>
          <w:b w:val="0"/>
          <w:color w:val="44515C"/>
          <w:sz w:val="16"/>
        </w:rPr>
        <w:fldChar w:fldCharType="begin"/>
        <w:instrText xml:space="preserve"> PAGEREF mv2_h_0136 \h </w:instrText>
        <w:fldChar w:fldCharType="separate"/>
        <w:t>0</w:t>
        <w:fldChar w:fldCharType="end"/>
      </w:r>
    </w:p>
    <w:p>
      <w:pPr>
        <w:pStyle w:val="TOC2"/>
        <w:tabs>
          <w:tab w:pos="9432" w:val="right" w:leader="dot"/>
        </w:tabs>
      </w:pPr>
      <w:hyperlink w:anchor="mv2_h_0137" w:history="1">
        <w:r>
          <w:rPr>
            <w:rFonts w:ascii="Carlito" w:hAnsi="Carlito"/>
            <w:color w:val="44515C"/>
          </w:rPr>
          <w:t>9.4 Operator Scoping in the Database</w:t>
        </w:r>
      </w:hyperlink>
      <w:r>
        <w:tab/>
      </w:r>
      <w:r>
        <w:rPr>
          <w:rFonts w:ascii="Carlito" w:hAnsi="Carlito" w:eastAsia="Carlito"/>
          <w:b w:val="0"/>
          <w:color w:val="44515C"/>
          <w:sz w:val="16"/>
        </w:rPr>
        <w:fldChar w:fldCharType="begin"/>
        <w:instrText xml:space="preserve"> PAGEREF mv2_h_0137 \h </w:instrText>
        <w:fldChar w:fldCharType="separate"/>
        <w:t>0</w:t>
        <w:fldChar w:fldCharType="end"/>
      </w:r>
    </w:p>
    <w:p>
      <w:pPr>
        <w:pStyle w:val="TOC2"/>
        <w:tabs>
          <w:tab w:pos="9432" w:val="right" w:leader="dot"/>
        </w:tabs>
      </w:pPr>
      <w:hyperlink w:anchor="mv2_h_0140" w:history="1">
        <w:r>
          <w:rPr>
            <w:rFonts w:ascii="Carlito" w:hAnsi="Carlito"/>
            <w:color w:val="44515C"/>
          </w:rPr>
          <w:t>9.5 Read Models</w:t>
        </w:r>
      </w:hyperlink>
      <w:r>
        <w:tab/>
      </w:r>
      <w:r>
        <w:rPr>
          <w:rFonts w:ascii="Carlito" w:hAnsi="Carlito" w:eastAsia="Carlito"/>
          <w:b w:val="0"/>
          <w:color w:val="44515C"/>
          <w:sz w:val="16"/>
        </w:rPr>
        <w:fldChar w:fldCharType="begin"/>
        <w:instrText xml:space="preserve"> PAGEREF mv2_h_0140 \h </w:instrText>
        <w:fldChar w:fldCharType="separate"/>
        <w:t>0</w:t>
        <w:fldChar w:fldCharType="end"/>
      </w:r>
    </w:p>
    <w:p>
      <w:pPr>
        <w:pStyle w:val="TOC1"/>
        <w:tabs>
          <w:tab w:pos="9432" w:val="right" w:leader="dot"/>
        </w:tabs>
      </w:pPr>
      <w:hyperlink w:anchor="mv2_h_0145" w:history="1">
        <w:r>
          <w:rPr>
            <w:rFonts w:ascii="Carlito" w:hAnsi="Carlito"/>
            <w:color w:val="17324D"/>
          </w:rPr>
          <w:t>10. Messaging and External Integrations</w:t>
        </w:r>
      </w:hyperlink>
      <w:r>
        <w:tab/>
      </w:r>
      <w:r>
        <w:rPr>
          <w:rFonts w:ascii="Carlito" w:hAnsi="Carlito" w:eastAsia="Carlito"/>
          <w:b/>
          <w:color w:val="17324D"/>
          <w:sz w:val="17"/>
        </w:rPr>
        <w:fldChar w:fldCharType="begin"/>
        <w:instrText xml:space="preserve"> PAGEREF mv2_h_0145 \h </w:instrText>
        <w:fldChar w:fldCharType="separate"/>
        <w:t>0</w:t>
        <w:fldChar w:fldCharType="end"/>
      </w:r>
    </w:p>
    <w:p>
      <w:pPr>
        <w:pStyle w:val="TOC2"/>
        <w:tabs>
          <w:tab w:pos="9432" w:val="right" w:leader="dot"/>
        </w:tabs>
      </w:pPr>
      <w:hyperlink w:anchor="mv2_h_0146" w:history="1">
        <w:r>
          <w:rPr>
            <w:rFonts w:ascii="Carlito" w:hAnsi="Carlito"/>
            <w:color w:val="44515C"/>
          </w:rPr>
          <w:t>10.1 Messaging Architecture</w:t>
        </w:r>
      </w:hyperlink>
      <w:r>
        <w:tab/>
      </w:r>
      <w:r>
        <w:rPr>
          <w:rFonts w:ascii="Carlito" w:hAnsi="Carlito" w:eastAsia="Carlito"/>
          <w:b w:val="0"/>
          <w:color w:val="44515C"/>
          <w:sz w:val="16"/>
        </w:rPr>
        <w:fldChar w:fldCharType="begin"/>
        <w:instrText xml:space="preserve"> PAGEREF mv2_h_0146 \h </w:instrText>
        <w:fldChar w:fldCharType="separate"/>
        <w:t>0</w:t>
        <w:fldChar w:fldCharType="end"/>
      </w:r>
    </w:p>
    <w:p>
      <w:pPr>
        <w:pStyle w:val="TOC2"/>
        <w:tabs>
          <w:tab w:pos="9432" w:val="right" w:leader="dot"/>
        </w:tabs>
      </w:pPr>
      <w:hyperlink w:anchor="mv2_h_0148" w:history="1">
        <w:r>
          <w:rPr>
            <w:rFonts w:ascii="Carlito" w:hAnsi="Carlito"/>
            <w:color w:val="44515C"/>
          </w:rPr>
          <w:t>10.2 Topic Catalog</w:t>
        </w:r>
      </w:hyperlink>
      <w:r>
        <w:tab/>
      </w:r>
      <w:r>
        <w:rPr>
          <w:rFonts w:ascii="Carlito" w:hAnsi="Carlito" w:eastAsia="Carlito"/>
          <w:b w:val="0"/>
          <w:color w:val="44515C"/>
          <w:sz w:val="16"/>
        </w:rPr>
        <w:fldChar w:fldCharType="begin"/>
        <w:instrText xml:space="preserve"> PAGEREF mv2_h_0148 \h </w:instrText>
        <w:fldChar w:fldCharType="separate"/>
        <w:t>0</w:t>
        <w:fldChar w:fldCharType="end"/>
      </w:r>
    </w:p>
    <w:p>
      <w:pPr>
        <w:pStyle w:val="TOC2"/>
        <w:tabs>
          <w:tab w:pos="9432" w:val="right" w:leader="dot"/>
        </w:tabs>
      </w:pPr>
      <w:hyperlink w:anchor="mv2_h_0155" w:history="1">
        <w:r>
          <w:rPr>
            <w:rFonts w:ascii="Carlito" w:hAnsi="Carlito"/>
            <w:color w:val="44515C"/>
          </w:rPr>
          <w:t>10.3 InPost Integration</w:t>
        </w:r>
      </w:hyperlink>
      <w:r>
        <w:tab/>
      </w:r>
      <w:r>
        <w:rPr>
          <w:rFonts w:ascii="Carlito" w:hAnsi="Carlito" w:eastAsia="Carlito"/>
          <w:b w:val="0"/>
          <w:color w:val="44515C"/>
          <w:sz w:val="16"/>
        </w:rPr>
        <w:fldChar w:fldCharType="begin"/>
        <w:instrText xml:space="preserve"> PAGEREF mv2_h_0155 \h </w:instrText>
        <w:fldChar w:fldCharType="separate"/>
        <w:t>0</w:t>
        <w:fldChar w:fldCharType="end"/>
      </w:r>
    </w:p>
    <w:p>
      <w:pPr>
        <w:pStyle w:val="TOC2"/>
        <w:tabs>
          <w:tab w:pos="9432" w:val="right" w:leader="dot"/>
        </w:tabs>
      </w:pPr>
      <w:hyperlink w:anchor="mv2_h_0156" w:history="1">
        <w:r>
          <w:rPr>
            <w:rFonts w:ascii="Carlito" w:hAnsi="Carlito"/>
            <w:color w:val="44515C"/>
          </w:rPr>
          <w:t>10.4 Geocoding Integration</w:t>
        </w:r>
      </w:hyperlink>
      <w:r>
        <w:tab/>
      </w:r>
      <w:r>
        <w:rPr>
          <w:rFonts w:ascii="Carlito" w:hAnsi="Carlito" w:eastAsia="Carlito"/>
          <w:b w:val="0"/>
          <w:color w:val="44515C"/>
          <w:sz w:val="16"/>
        </w:rPr>
        <w:fldChar w:fldCharType="begin"/>
        <w:instrText xml:space="preserve"> PAGEREF mv2_h_0156 \h </w:instrText>
        <w:fldChar w:fldCharType="separate"/>
        <w:t>0</w:t>
        <w:fldChar w:fldCharType="end"/>
      </w:r>
    </w:p>
    <w:p>
      <w:pPr>
        <w:pStyle w:val="TOC2"/>
        <w:tabs>
          <w:tab w:pos="9432" w:val="right" w:leader="dot"/>
        </w:tabs>
      </w:pPr>
      <w:hyperlink w:anchor="mv2_h_0157" w:history="1">
        <w:r>
          <w:rPr>
            <w:rFonts w:ascii="Carlito" w:hAnsi="Carlito"/>
            <w:color w:val="44515C"/>
          </w:rPr>
          <w:t>10.5 Mail Integration</w:t>
        </w:r>
      </w:hyperlink>
      <w:r>
        <w:tab/>
      </w:r>
      <w:r>
        <w:rPr>
          <w:rFonts w:ascii="Carlito" w:hAnsi="Carlito" w:eastAsia="Carlito"/>
          <w:b w:val="0"/>
          <w:color w:val="44515C"/>
          <w:sz w:val="16"/>
        </w:rPr>
        <w:fldChar w:fldCharType="begin"/>
        <w:instrText xml:space="preserve"> PAGEREF mv2_h_0157 \h </w:instrText>
        <w:fldChar w:fldCharType="separate"/>
        <w:t>0</w:t>
        <w:fldChar w:fldCharType="end"/>
      </w:r>
    </w:p>
    <w:p>
      <w:pPr>
        <w:pStyle w:val="TOC2"/>
        <w:tabs>
          <w:tab w:pos="9432" w:val="right" w:leader="dot"/>
        </w:tabs>
      </w:pPr>
      <w:hyperlink w:anchor="mv2_h_0158" w:history="1">
        <w:r>
          <w:rPr>
            <w:rFonts w:ascii="Carlito" w:hAnsi="Carlito"/>
            <w:color w:val="44515C"/>
          </w:rPr>
          <w:t>10.6 Service Discovery and Feign</w:t>
        </w:r>
      </w:hyperlink>
      <w:r>
        <w:tab/>
      </w:r>
      <w:r>
        <w:rPr>
          <w:rFonts w:ascii="Carlito" w:hAnsi="Carlito" w:eastAsia="Carlito"/>
          <w:b w:val="0"/>
          <w:color w:val="44515C"/>
          <w:sz w:val="16"/>
        </w:rPr>
        <w:fldChar w:fldCharType="begin"/>
        <w:instrText xml:space="preserve"> PAGEREF mv2_h_0158 \h </w:instrText>
        <w:fldChar w:fldCharType="separate"/>
        <w:t>0</w:t>
        <w:fldChar w:fldCharType="end"/>
      </w:r>
    </w:p>
    <w:p>
      <w:pPr>
        <w:pStyle w:val="TOC1"/>
        <w:tabs>
          <w:tab w:pos="9432" w:val="right" w:leader="dot"/>
        </w:tabs>
      </w:pPr>
      <w:hyperlink w:anchor="mv2_h_0160" w:history="1">
        <w:r>
          <w:rPr>
            <w:rFonts w:ascii="Carlito" w:hAnsi="Carlito"/>
            <w:color w:val="17324D"/>
          </w:rPr>
          <w:t>11. API Surface</w:t>
        </w:r>
      </w:hyperlink>
      <w:r>
        <w:tab/>
      </w:r>
      <w:r>
        <w:rPr>
          <w:rFonts w:ascii="Carlito" w:hAnsi="Carlito" w:eastAsia="Carlito"/>
          <w:b/>
          <w:color w:val="17324D"/>
          <w:sz w:val="17"/>
        </w:rPr>
        <w:fldChar w:fldCharType="begin"/>
        <w:instrText xml:space="preserve"> PAGEREF mv2_h_0160 \h </w:instrText>
        <w:fldChar w:fldCharType="separate"/>
        <w:t>0</w:t>
        <w:fldChar w:fldCharType="end"/>
      </w:r>
    </w:p>
    <w:p>
      <w:pPr>
        <w:pStyle w:val="TOC2"/>
        <w:tabs>
          <w:tab w:pos="9432" w:val="right" w:leader="dot"/>
        </w:tabs>
      </w:pPr>
      <w:hyperlink w:anchor="mv2_h_0161" w:history="1">
        <w:r>
          <w:rPr>
            <w:rFonts w:ascii="Carlito" w:hAnsi="Carlito"/>
            <w:color w:val="44515C"/>
          </w:rPr>
          <w:t>11.1 API Base Path</w:t>
        </w:r>
      </w:hyperlink>
      <w:r>
        <w:tab/>
      </w:r>
      <w:r>
        <w:rPr>
          <w:rFonts w:ascii="Carlito" w:hAnsi="Carlito" w:eastAsia="Carlito"/>
          <w:b w:val="0"/>
          <w:color w:val="44515C"/>
          <w:sz w:val="16"/>
        </w:rPr>
        <w:fldChar w:fldCharType="begin"/>
        <w:instrText xml:space="preserve"> PAGEREF mv2_h_0161 \h </w:instrText>
        <w:fldChar w:fldCharType="separate"/>
        <w:t>0</w:t>
        <w:fldChar w:fldCharType="end"/>
      </w:r>
    </w:p>
    <w:p>
      <w:pPr>
        <w:pStyle w:val="TOC2"/>
        <w:tabs>
          <w:tab w:pos="9432" w:val="right" w:leader="dot"/>
        </w:tabs>
      </w:pPr>
      <w:hyperlink w:anchor="mv2_h_0162" w:history="1">
        <w:r>
          <w:rPr>
            <w:rFonts w:ascii="Carlito" w:hAnsi="Carlito"/>
            <w:color w:val="44515C"/>
          </w:rPr>
          <w:t>11.2 API Categories</w:t>
        </w:r>
      </w:hyperlink>
      <w:r>
        <w:tab/>
      </w:r>
      <w:r>
        <w:rPr>
          <w:rFonts w:ascii="Carlito" w:hAnsi="Carlito" w:eastAsia="Carlito"/>
          <w:b w:val="0"/>
          <w:color w:val="44515C"/>
          <w:sz w:val="16"/>
        </w:rPr>
        <w:fldChar w:fldCharType="begin"/>
        <w:instrText xml:space="preserve"> PAGEREF mv2_h_0162 \h </w:instrText>
        <w:fldChar w:fldCharType="separate"/>
        <w:t>0</w:t>
        <w:fldChar w:fldCharType="end"/>
      </w:r>
    </w:p>
    <w:p>
      <w:pPr>
        <w:pStyle w:val="TOC2"/>
        <w:tabs>
          <w:tab w:pos="9432" w:val="right" w:leader="dot"/>
        </w:tabs>
      </w:pPr>
      <w:hyperlink w:anchor="mv2_h_0170" w:history="1">
        <w:r>
          <w:rPr>
            <w:rFonts w:ascii="Carlito" w:hAnsi="Carlito"/>
            <w:color w:val="44515C"/>
          </w:rPr>
          <w:t>11.3 OpenAPI</w:t>
        </w:r>
      </w:hyperlink>
      <w:r>
        <w:tab/>
      </w:r>
      <w:r>
        <w:rPr>
          <w:rFonts w:ascii="Carlito" w:hAnsi="Carlito" w:eastAsia="Carlito"/>
          <w:b w:val="0"/>
          <w:color w:val="44515C"/>
          <w:sz w:val="16"/>
        </w:rPr>
        <w:fldChar w:fldCharType="begin"/>
        <w:instrText xml:space="preserve"> PAGEREF mv2_h_0170 \h </w:instrText>
        <w:fldChar w:fldCharType="separate"/>
        <w:t>0</w:t>
        <w:fldChar w:fldCharType="end"/>
      </w:r>
    </w:p>
    <w:p>
      <w:pPr>
        <w:pStyle w:val="TOC2"/>
        <w:tabs>
          <w:tab w:pos="9432" w:val="right" w:leader="dot"/>
        </w:tabs>
      </w:pPr>
      <w:hyperlink w:anchor="mv2_h_0171" w:history="1">
        <w:r>
          <w:rPr>
            <w:rFonts w:ascii="Carlito" w:hAnsi="Carlito"/>
            <w:color w:val="44515C"/>
          </w:rPr>
          <w:t>11.4 Versioning</w:t>
        </w:r>
      </w:hyperlink>
      <w:r>
        <w:tab/>
      </w:r>
      <w:r>
        <w:rPr>
          <w:rFonts w:ascii="Carlito" w:hAnsi="Carlito" w:eastAsia="Carlito"/>
          <w:b w:val="0"/>
          <w:color w:val="44515C"/>
          <w:sz w:val="16"/>
        </w:rPr>
        <w:fldChar w:fldCharType="begin"/>
        <w:instrText xml:space="preserve"> PAGEREF mv2_h_0171 \h </w:instrText>
        <w:fldChar w:fldCharType="separate"/>
        <w:t>0</w:t>
        <w:fldChar w:fldCharType="end"/>
      </w:r>
    </w:p>
    <w:p>
      <w:pPr>
        <w:pStyle w:val="TOC2"/>
        <w:tabs>
          <w:tab w:pos="9432" w:val="right" w:leader="dot"/>
        </w:tabs>
      </w:pPr>
      <w:hyperlink w:anchor="mv2_h_0172" w:history="1">
        <w:r>
          <w:rPr>
            <w:rFonts w:ascii="Carlito" w:hAnsi="Carlito"/>
            <w:color w:val="44515C"/>
          </w:rPr>
          <w:t>11.5 Language and Localization</w:t>
        </w:r>
      </w:hyperlink>
      <w:r>
        <w:tab/>
      </w:r>
      <w:r>
        <w:rPr>
          <w:rFonts w:ascii="Carlito" w:hAnsi="Carlito" w:eastAsia="Carlito"/>
          <w:b w:val="0"/>
          <w:color w:val="44515C"/>
          <w:sz w:val="16"/>
        </w:rPr>
        <w:fldChar w:fldCharType="begin"/>
        <w:instrText xml:space="preserve"> PAGEREF mv2_h_0172 \h </w:instrText>
        <w:fldChar w:fldCharType="separate"/>
        <w:t>0</w:t>
        <w:fldChar w:fldCharType="end"/>
      </w:r>
    </w:p>
    <w:p>
      <w:pPr>
        <w:pStyle w:val="TOC1"/>
        <w:tabs>
          <w:tab w:pos="9432" w:val="right" w:leader="dot"/>
        </w:tabs>
      </w:pPr>
      <w:hyperlink w:anchor="mv2_h_0195" w:history="1">
        <w:r>
          <w:rPr>
            <w:rFonts w:ascii="Carlito" w:hAnsi="Carlito"/>
            <w:color w:val="17324D"/>
          </w:rPr>
          <w:t>12. Containerization Assets</w:t>
        </w:r>
      </w:hyperlink>
      <w:r>
        <w:tab/>
      </w:r>
      <w:r>
        <w:rPr>
          <w:rFonts w:ascii="Carlito" w:hAnsi="Carlito" w:eastAsia="Carlito"/>
          <w:b/>
          <w:color w:val="17324D"/>
          <w:sz w:val="17"/>
        </w:rPr>
        <w:fldChar w:fldCharType="begin"/>
        <w:instrText xml:space="preserve"> PAGEREF mv2_h_0195 \h </w:instrText>
        <w:fldChar w:fldCharType="separate"/>
        <w:t>0</w:t>
        <w:fldChar w:fldCharType="end"/>
      </w:r>
    </w:p>
    <w:p>
      <w:pPr>
        <w:pStyle w:val="TOC2"/>
        <w:tabs>
          <w:tab w:pos="9432" w:val="right" w:leader="dot"/>
        </w:tabs>
      </w:pPr>
      <w:hyperlink w:anchor="mv2_h_0196" w:history="1">
        <w:r>
          <w:rPr>
            <w:rFonts w:ascii="Carlito" w:hAnsi="Carlito"/>
            <w:color w:val="44515C"/>
          </w:rPr>
          <w:t>12.1 Dockerfile</w:t>
        </w:r>
      </w:hyperlink>
      <w:r>
        <w:tab/>
      </w:r>
      <w:r>
        <w:rPr>
          <w:rFonts w:ascii="Carlito" w:hAnsi="Carlito" w:eastAsia="Carlito"/>
          <w:b w:val="0"/>
          <w:color w:val="44515C"/>
          <w:sz w:val="16"/>
        </w:rPr>
        <w:fldChar w:fldCharType="begin"/>
        <w:instrText xml:space="preserve"> PAGEREF mv2_h_0196 \h </w:instrText>
        <w:fldChar w:fldCharType="separate"/>
        <w:t>0</w:t>
        <w:fldChar w:fldCharType="end"/>
      </w:r>
    </w:p>
    <w:p>
      <w:pPr>
        <w:pStyle w:val="TOC2"/>
        <w:tabs>
          <w:tab w:pos="9432" w:val="right" w:leader="dot"/>
        </w:tabs>
      </w:pPr>
      <w:hyperlink w:anchor="mv2_h_0199" w:history="1">
        <w:r>
          <w:rPr>
            <w:rFonts w:ascii="Carlito" w:hAnsi="Carlito"/>
            <w:color w:val="44515C"/>
          </w:rPr>
          <w:t>12.2 Docker Compose</w:t>
        </w:r>
      </w:hyperlink>
      <w:r>
        <w:tab/>
      </w:r>
      <w:r>
        <w:rPr>
          <w:rFonts w:ascii="Carlito" w:hAnsi="Carlito" w:eastAsia="Carlito"/>
          <w:b w:val="0"/>
          <w:color w:val="44515C"/>
          <w:sz w:val="16"/>
        </w:rPr>
        <w:fldChar w:fldCharType="begin"/>
        <w:instrText xml:space="preserve"> PAGEREF mv2_h_0199 \h </w:instrText>
        <w:fldChar w:fldCharType="separate"/>
        <w:t>0</w:t>
        <w:fldChar w:fldCharType="end"/>
      </w:r>
    </w:p>
    <w:p>
      <w:pPr>
        <w:pStyle w:val="TOC1"/>
        <w:tabs>
          <w:tab w:pos="9432" w:val="right" w:leader="dot"/>
        </w:tabs>
      </w:pPr>
      <w:hyperlink w:anchor="mv2_h_0208" w:history="1">
        <w:r>
          <w:rPr>
            <w:rFonts w:ascii="Carlito" w:hAnsi="Carlito"/>
            <w:color w:val="17324D"/>
          </w:rPr>
          <w:t>13. CI/CD Definitions</w:t>
        </w:r>
      </w:hyperlink>
      <w:r>
        <w:tab/>
      </w:r>
      <w:r>
        <w:rPr>
          <w:rFonts w:ascii="Carlito" w:hAnsi="Carlito" w:eastAsia="Carlito"/>
          <w:b/>
          <w:color w:val="17324D"/>
          <w:sz w:val="17"/>
        </w:rPr>
        <w:fldChar w:fldCharType="begin"/>
        <w:instrText xml:space="preserve"> PAGEREF mv2_h_0208 \h </w:instrText>
        <w:fldChar w:fldCharType="separate"/>
        <w:t>0</w:t>
        <w:fldChar w:fldCharType="end"/>
      </w:r>
    </w:p>
    <w:p>
      <w:pPr>
        <w:pStyle w:val="TOC2"/>
        <w:tabs>
          <w:tab w:pos="9432" w:val="right" w:leader="dot"/>
        </w:tabs>
      </w:pPr>
      <w:hyperlink w:anchor="mv2_h_0216" w:history="1">
        <w:r>
          <w:rPr>
            <w:rFonts w:ascii="Carlito" w:hAnsi="Carlito"/>
            <w:color w:val="44515C"/>
          </w:rPr>
          <w:t>13.1 Jenkins Pipeline</w:t>
        </w:r>
      </w:hyperlink>
      <w:r>
        <w:tab/>
      </w:r>
      <w:r>
        <w:rPr>
          <w:rFonts w:ascii="Carlito" w:hAnsi="Carlito" w:eastAsia="Carlito"/>
          <w:b w:val="0"/>
          <w:color w:val="44515C"/>
          <w:sz w:val="16"/>
        </w:rPr>
        <w:fldChar w:fldCharType="begin"/>
        <w:instrText xml:space="preserve"> PAGEREF mv2_h_0216 \h </w:instrText>
        <w:fldChar w:fldCharType="separate"/>
        <w:t>0</w:t>
        <w:fldChar w:fldCharType="end"/>
      </w:r>
    </w:p>
    <w:p>
      <w:pPr>
        <w:pStyle w:val="TOC2"/>
        <w:tabs>
          <w:tab w:pos="9432" w:val="right" w:leader="dot"/>
        </w:tabs>
      </w:pPr>
      <w:hyperlink w:anchor="mv2_h_0217" w:history="1">
        <w:r>
          <w:rPr>
            <w:rFonts w:ascii="Carlito" w:hAnsi="Carlito"/>
            <w:color w:val="44515C"/>
          </w:rPr>
          <w:t>13.2 GitLab CI</w:t>
        </w:r>
      </w:hyperlink>
      <w:r>
        <w:tab/>
      </w:r>
      <w:r>
        <w:rPr>
          <w:rFonts w:ascii="Carlito" w:hAnsi="Carlito" w:eastAsia="Carlito"/>
          <w:b w:val="0"/>
          <w:color w:val="44515C"/>
          <w:sz w:val="16"/>
        </w:rPr>
        <w:fldChar w:fldCharType="begin"/>
        <w:instrText xml:space="preserve"> PAGEREF mv2_h_0217 \h </w:instrText>
        <w:fldChar w:fldCharType="separate"/>
        <w:t>0</w:t>
        <w:fldChar w:fldCharType="end"/>
      </w:r>
    </w:p>
    <w:p>
      <w:pPr>
        <w:pStyle w:val="TOC1"/>
        <w:tabs>
          <w:tab w:pos="9432" w:val="right" w:leader="dot"/>
        </w:tabs>
      </w:pPr>
      <w:hyperlink w:anchor="mv2_h_0273" w:history="1">
        <w:r>
          <w:rPr>
            <w:rFonts w:ascii="Carlito" w:hAnsi="Carlito"/>
            <w:color w:val="17324D"/>
          </w:rPr>
          <w:t>14. Current Release Overview</w:t>
        </w:r>
      </w:hyperlink>
      <w:r>
        <w:tab/>
      </w:r>
      <w:r>
        <w:rPr>
          <w:rFonts w:ascii="Carlito" w:hAnsi="Carlito" w:eastAsia="Carlito"/>
          <w:b/>
          <w:color w:val="17324D"/>
          <w:sz w:val="17"/>
        </w:rPr>
        <w:fldChar w:fldCharType="begin"/>
        <w:instrText xml:space="preserve"> PAGEREF mv2_h_0273 \h </w:instrText>
        <w:fldChar w:fldCharType="separate"/>
        <w:t>0</w:t>
        <w:fldChar w:fldCharType="end"/>
      </w:r>
    </w:p>
    <w:p>
      <w:pPr>
        <w:pStyle w:val="TOC2"/>
        <w:tabs>
          <w:tab w:pos="9432" w:val="right" w:leader="dot"/>
        </w:tabs>
      </w:pPr>
      <w:hyperlink w:anchor="mv2_h_0274" w:history="1">
        <w:r>
          <w:rPr>
            <w:rFonts w:ascii="Carlito" w:hAnsi="Carlito"/>
            <w:color w:val="44515C"/>
          </w:rPr>
          <w:t>14.1 Release Position</w:t>
        </w:r>
      </w:hyperlink>
      <w:r>
        <w:tab/>
      </w:r>
      <w:r>
        <w:rPr>
          <w:rFonts w:ascii="Carlito" w:hAnsi="Carlito" w:eastAsia="Carlito"/>
          <w:b w:val="0"/>
          <w:color w:val="44515C"/>
          <w:sz w:val="16"/>
        </w:rPr>
        <w:fldChar w:fldCharType="begin"/>
        <w:instrText xml:space="preserve"> PAGEREF mv2_h_0274 \h </w:instrText>
        <w:fldChar w:fldCharType="separate"/>
        <w:t>0</w:t>
        <w:fldChar w:fldCharType="end"/>
      </w:r>
    </w:p>
    <w:p>
      <w:pPr>
        <w:pStyle w:val="TOC2"/>
        <w:tabs>
          <w:tab w:pos="9432" w:val="right" w:leader="dot"/>
        </w:tabs>
      </w:pPr>
      <w:hyperlink w:anchor="mv2_h_0275" w:history="1">
        <w:r>
          <w:rPr>
            <w:rFonts w:ascii="Carlito" w:hAnsi="Carlito"/>
            <w:color w:val="44515C"/>
          </w:rPr>
          <w:t>14.2 Operator-Aware Model</w:t>
        </w:r>
      </w:hyperlink>
      <w:r>
        <w:tab/>
      </w:r>
      <w:r>
        <w:rPr>
          <w:rFonts w:ascii="Carlito" w:hAnsi="Carlito" w:eastAsia="Carlito"/>
          <w:b w:val="0"/>
          <w:color w:val="44515C"/>
          <w:sz w:val="16"/>
        </w:rPr>
        <w:fldChar w:fldCharType="begin"/>
        <w:instrText xml:space="preserve"> PAGEREF mv2_h_0275 \h </w:instrText>
        <w:fldChar w:fldCharType="separate"/>
        <w:t>0</w:t>
        <w:fldChar w:fldCharType="end"/>
      </w:r>
    </w:p>
    <w:p>
      <w:pPr>
        <w:pStyle w:val="TOC2"/>
        <w:tabs>
          <w:tab w:pos="9432" w:val="right" w:leader="dot"/>
        </w:tabs>
      </w:pPr>
      <w:hyperlink w:anchor="mv2_h_0276" w:history="1">
        <w:r>
          <w:rPr>
            <w:rFonts w:ascii="Carlito" w:hAnsi="Carlito"/>
            <w:color w:val="44515C"/>
          </w:rPr>
          <w:t>14.3 Provisioning and Configuration</w:t>
        </w:r>
      </w:hyperlink>
      <w:r>
        <w:tab/>
      </w:r>
      <w:r>
        <w:rPr>
          <w:rFonts w:ascii="Carlito" w:hAnsi="Carlito" w:eastAsia="Carlito"/>
          <w:b w:val="0"/>
          <w:color w:val="44515C"/>
          <w:sz w:val="16"/>
        </w:rPr>
        <w:fldChar w:fldCharType="begin"/>
        <w:instrText xml:space="preserve"> PAGEREF mv2_h_0276 \h </w:instrText>
        <w:fldChar w:fldCharType="separate"/>
        <w:t>0</w:t>
        <w:fldChar w:fldCharType="end"/>
      </w:r>
    </w:p>
    <w:p>
      <w:pPr>
        <w:pStyle w:val="TOC2"/>
        <w:tabs>
          <w:tab w:pos="9432" w:val="right" w:leader="dot"/>
        </w:tabs>
      </w:pPr>
      <w:hyperlink w:anchor="mv2_h_0277" w:history="1">
        <w:r>
          <w:rPr>
            <w:rFonts w:ascii="Carlito" w:hAnsi="Carlito"/>
            <w:color w:val="44515C"/>
          </w:rPr>
          <w:t>14.4 User, Role, and Department Read Models</w:t>
        </w:r>
      </w:hyperlink>
      <w:r>
        <w:tab/>
      </w:r>
      <w:r>
        <w:rPr>
          <w:rFonts w:ascii="Carlito" w:hAnsi="Carlito" w:eastAsia="Carlito"/>
          <w:b w:val="0"/>
          <w:color w:val="44515C"/>
          <w:sz w:val="16"/>
        </w:rPr>
        <w:fldChar w:fldCharType="begin"/>
        <w:instrText xml:space="preserve"> PAGEREF mv2_h_0277 \h </w:instrText>
        <w:fldChar w:fldCharType="separate"/>
        <w:t>0</w:t>
        <w:fldChar w:fldCharType="end"/>
      </w:r>
    </w:p>
    <w:p>
      <w:pPr>
        <w:pStyle w:val="TOC2"/>
        <w:tabs>
          <w:tab w:pos="9432" w:val="right" w:leader="dot"/>
        </w:tabs>
      </w:pPr>
      <w:hyperlink w:anchor="mv2_h_0278" w:history="1">
        <w:r>
          <w:rPr>
            <w:rFonts w:ascii="Carlito" w:hAnsi="Carlito"/>
            <w:color w:val="44515C"/>
          </w:rPr>
          <w:t>14.5 Shipment and Return Events</w:t>
        </w:r>
      </w:hyperlink>
      <w:r>
        <w:tab/>
      </w:r>
      <w:r>
        <w:rPr>
          <w:rFonts w:ascii="Carlito" w:hAnsi="Carlito" w:eastAsia="Carlito"/>
          <w:b w:val="0"/>
          <w:color w:val="44515C"/>
          <w:sz w:val="16"/>
        </w:rPr>
        <w:fldChar w:fldCharType="begin"/>
        <w:instrText xml:space="preserve"> PAGEREF mv2_h_0278 \h </w:instrText>
        <w:fldChar w:fldCharType="separate"/>
        <w:t>0</w:t>
        <w:fldChar w:fldCharType="end"/>
      </w:r>
    </w:p>
    <w:p>
      <w:pPr>
        <w:pStyle w:val="TOC2"/>
        <w:tabs>
          <w:tab w:pos="9432" w:val="right" w:leader="dot"/>
        </w:tabs>
      </w:pPr>
      <w:hyperlink w:anchor="mv2_h_0279" w:history="1">
        <w:r>
          <w:rPr>
            <w:rFonts w:ascii="Carlito" w:hAnsi="Carlito"/>
            <w:color w:val="44515C"/>
          </w:rPr>
          <w:t>14.6 Route Tracker Enhancements</w:t>
        </w:r>
      </w:hyperlink>
      <w:r>
        <w:tab/>
      </w:r>
      <w:r>
        <w:rPr>
          <w:rFonts w:ascii="Carlito" w:hAnsi="Carlito" w:eastAsia="Carlito"/>
          <w:b w:val="0"/>
          <w:color w:val="44515C"/>
          <w:sz w:val="16"/>
        </w:rPr>
        <w:fldChar w:fldCharType="begin"/>
        <w:instrText xml:space="preserve"> PAGEREF mv2_h_0279 \h </w:instrText>
        <w:fldChar w:fldCharType="separate"/>
        <w:t>0</w:t>
        <w:fldChar w:fldCharType="end"/>
      </w:r>
    </w:p>
    <w:p>
      <w:pPr>
        <w:pStyle w:val="TOC2"/>
        <w:tabs>
          <w:tab w:pos="9432" w:val="right" w:leader="dot"/>
        </w:tabs>
      </w:pPr>
      <w:hyperlink w:anchor="mv2_h_0280" w:history="1">
        <w:r>
          <w:rPr>
            <w:rFonts w:ascii="Carlito" w:hAnsi="Carlito"/>
            <w:color w:val="44515C"/>
          </w:rPr>
          <w:t>14.7 Dangerous Goods and InPost</w:t>
        </w:r>
      </w:hyperlink>
      <w:r>
        <w:tab/>
      </w:r>
      <w:r>
        <w:rPr>
          <w:rFonts w:ascii="Carlito" w:hAnsi="Carlito" w:eastAsia="Carlito"/>
          <w:b w:val="0"/>
          <w:color w:val="44515C"/>
          <w:sz w:val="16"/>
        </w:rPr>
        <w:fldChar w:fldCharType="begin"/>
        <w:instrText xml:space="preserve"> PAGEREF mv2_h_0280 \h </w:instrText>
        <w:fldChar w:fldCharType="separate"/>
        <w:t>0</w:t>
        <w:fldChar w:fldCharType="end"/>
      </w:r>
    </w:p>
    <w:p>
      <w:pPr>
        <w:pStyle w:val="TOC2"/>
        <w:tabs>
          <w:tab w:pos="9432" w:val="right" w:leader="dot"/>
        </w:tabs>
      </w:pPr>
      <w:hyperlink w:anchor="mv2_h_0281" w:history="1">
        <w:r>
          <w:rPr>
            <w:rFonts w:ascii="Carlito" w:hAnsi="Carlito"/>
            <w:color w:val="44515C"/>
          </w:rPr>
          <w:t>14.8 Core-to-Impl Renaming</w:t>
        </w:r>
      </w:hyperlink>
      <w:r>
        <w:tab/>
      </w:r>
      <w:r>
        <w:rPr>
          <w:rFonts w:ascii="Carlito" w:hAnsi="Carlito" w:eastAsia="Carlito"/>
          <w:b w:val="0"/>
          <w:color w:val="44515C"/>
          <w:sz w:val="16"/>
        </w:rPr>
        <w:fldChar w:fldCharType="begin"/>
        <w:instrText xml:space="preserve"> PAGEREF mv2_h_0281 \h </w:instrText>
        <w:fldChar w:fldCharType="separate"/>
        <w:t>0</w:t>
        <w:fldChar w:fldCharType="end"/>
      </w:r>
    </w:p>
    <w:p>
      <w:pPr>
        <w:pStyle w:val="TOC2"/>
        <w:tabs>
          <w:tab w:pos="9432" w:val="right" w:leader="dot"/>
        </w:tabs>
      </w:pPr>
      <w:hyperlink w:anchor="mv2_h_0282" w:history="1">
        <w:r>
          <w:rPr>
            <w:rFonts w:ascii="Carlito" w:hAnsi="Carlito"/>
            <w:color w:val="44515C"/>
          </w:rPr>
          <w:t>14.9 Authentication and Cookie Changes</w:t>
        </w:r>
      </w:hyperlink>
      <w:r>
        <w:tab/>
      </w:r>
      <w:r>
        <w:rPr>
          <w:rFonts w:ascii="Carlito" w:hAnsi="Carlito" w:eastAsia="Carlito"/>
          <w:b w:val="0"/>
          <w:color w:val="44515C"/>
          <w:sz w:val="16"/>
        </w:rPr>
        <w:fldChar w:fldCharType="begin"/>
        <w:instrText xml:space="preserve"> PAGEREF mv2_h_0282 \h </w:instrText>
        <w:fldChar w:fldCharType="separate"/>
        <w:t>0</w:t>
        <w:fldChar w:fldCharType="end"/>
      </w:r>
    </w:p>
    <w:p>
      <w:pPr>
        <w:pStyle w:val="TOC2"/>
        <w:tabs>
          <w:tab w:pos="9432" w:val="right" w:leader="dot"/>
        </w:tabs>
      </w:pPr>
      <w:hyperlink w:anchor="mv2_h_0283" w:history="1">
        <w:r>
          <w:rPr>
            <w:rFonts w:ascii="Carlito" w:hAnsi="Carlito"/>
            <w:color w:val="44515C"/>
          </w:rPr>
          <w:t>14.10 Supplier, Geocoding, and Path Finding</w:t>
        </w:r>
      </w:hyperlink>
      <w:r>
        <w:tab/>
      </w:r>
      <w:r>
        <w:rPr>
          <w:rFonts w:ascii="Carlito" w:hAnsi="Carlito" w:eastAsia="Carlito"/>
          <w:b w:val="0"/>
          <w:color w:val="44515C"/>
          <w:sz w:val="16"/>
        </w:rPr>
        <w:fldChar w:fldCharType="begin"/>
        <w:instrText xml:space="preserve"> PAGEREF mv2_h_0283 \h </w:instrText>
        <w:fldChar w:fldCharType="separate"/>
        <w:t>0</w:t>
        <w:fldChar w:fldCharType="end"/>
      </w:r>
    </w:p>
    <w:p>
      <w:pPr>
        <w:pStyle w:val="TOC2"/>
        <w:tabs>
          <w:tab w:pos="9432" w:val="right" w:leader="dot"/>
        </w:tabs>
      </w:pPr>
      <w:hyperlink w:anchor="mv2_h_0284" w:history="1">
        <w:r>
          <w:rPr>
            <w:rFonts w:ascii="Carlito" w:hAnsi="Carlito"/>
            <w:color w:val="44515C"/>
          </w:rPr>
          <w:t>14.11 Legacy RouteLogger Removal</w:t>
        </w:r>
      </w:hyperlink>
      <w:r>
        <w:tab/>
      </w:r>
      <w:r>
        <w:rPr>
          <w:rFonts w:ascii="Carlito" w:hAnsi="Carlito" w:eastAsia="Carlito"/>
          <w:b w:val="0"/>
          <w:color w:val="44515C"/>
          <w:sz w:val="16"/>
        </w:rPr>
        <w:fldChar w:fldCharType="begin"/>
        <w:instrText xml:space="preserve"> PAGEREF mv2_h_0284 \h </w:instrText>
        <w:fldChar w:fldCharType="separate"/>
        <w:t>0</w:t>
        <w:fldChar w:fldCharType="end"/>
      </w:r>
    </w:p>
    <w:p>
      <w:pPr>
        <w:pStyle w:val="TOC2"/>
        <w:tabs>
          <w:tab w:pos="9432" w:val="right" w:leader="dot"/>
        </w:tabs>
      </w:pPr>
      <w:hyperlink w:anchor="mv2_h_0285" w:history="1">
        <w:r>
          <w:rPr>
            <w:rFonts w:ascii="Carlito" w:hAnsi="Carlito"/>
            <w:color w:val="44515C"/>
          </w:rPr>
          <w:t>14.12 Infrastructure Updates</w:t>
        </w:r>
      </w:hyperlink>
      <w:r>
        <w:tab/>
      </w:r>
      <w:r>
        <w:rPr>
          <w:rFonts w:ascii="Carlito" w:hAnsi="Carlito" w:eastAsia="Carlito"/>
          <w:b w:val="0"/>
          <w:color w:val="44515C"/>
          <w:sz w:val="16"/>
        </w:rPr>
        <w:fldChar w:fldCharType="begin"/>
        <w:instrText xml:space="preserve"> PAGEREF mv2_h_0285 \h </w:instrText>
        <w:fldChar w:fldCharType="separate"/>
        <w:t>0</w:t>
        <w:fldChar w:fldCharType="end"/>
      </w:r>
    </w:p>
    <w:p>
      <w:pPr>
        <w:pStyle w:val="TOC1"/>
        <w:tabs>
          <w:tab w:pos="9432" w:val="right" w:leader="dot"/>
        </w:tabs>
      </w:pPr>
      <w:hyperlink w:anchor="mv2_h_0287" w:history="1">
        <w:r>
          <w:rPr>
            <w:rFonts w:ascii="Carlito" w:hAnsi="Carlito"/>
            <w:color w:val="17324D"/>
          </w:rPr>
          <w:t>Appendix A. Repository Map</w:t>
        </w:r>
      </w:hyperlink>
      <w:r>
        <w:tab/>
      </w:r>
      <w:r>
        <w:rPr>
          <w:rFonts w:ascii="Carlito" w:hAnsi="Carlito" w:eastAsia="Carlito"/>
          <w:b/>
          <w:color w:val="17324D"/>
          <w:sz w:val="17"/>
        </w:rPr>
        <w:fldChar w:fldCharType="begin"/>
        <w:instrText xml:space="preserve"> PAGEREF mv2_h_0287 \h </w:instrText>
        <w:fldChar w:fldCharType="separate"/>
        <w:t>0</w:t>
        <w:fldChar w:fldCharType="end"/>
      </w:r>
    </w:p>
    <w:p>
      <w:pPr>
        <w:pStyle w:val="TOC2"/>
        <w:tabs>
          <w:tab w:pos="9432" w:val="right" w:leader="dot"/>
        </w:tabs>
      </w:pPr>
      <w:hyperlink w:anchor="mv2_h_0288" w:history="1">
        <w:r>
          <w:rPr>
            <w:rFonts w:ascii="Carlito" w:hAnsi="Carlito"/>
            <w:color w:val="44515C"/>
          </w:rPr>
          <w:t>A.1 Top-Level Areas</w:t>
        </w:r>
      </w:hyperlink>
      <w:r>
        <w:tab/>
      </w:r>
      <w:r>
        <w:rPr>
          <w:rFonts w:ascii="Carlito" w:hAnsi="Carlito" w:eastAsia="Carlito"/>
          <w:b w:val="0"/>
          <w:color w:val="44515C"/>
          <w:sz w:val="16"/>
        </w:rPr>
        <w:fldChar w:fldCharType="begin"/>
        <w:instrText xml:space="preserve"> PAGEREF mv2_h_0288 \h </w:instrText>
        <w:fldChar w:fldCharType="separate"/>
        <w:t>0</w:t>
        <w:fldChar w:fldCharType="end"/>
      </w:r>
    </w:p>
    <w:p>
      <w:pPr>
        <w:pStyle w:val="TOC2"/>
        <w:tabs>
          <w:tab w:pos="9432" w:val="right" w:leader="dot"/>
        </w:tabs>
      </w:pPr>
      <w:hyperlink w:anchor="mv2_h_0289" w:history="1">
        <w:r>
          <w:rPr>
            <w:rFonts w:ascii="Carlito" w:hAnsi="Carlito"/>
            <w:color w:val="44515C"/>
          </w:rPr>
          <w:t>A.2 Module Classification</w:t>
        </w:r>
      </w:hyperlink>
      <w:r>
        <w:tab/>
      </w:r>
      <w:r>
        <w:rPr>
          <w:rFonts w:ascii="Carlito" w:hAnsi="Carlito" w:eastAsia="Carlito"/>
          <w:b w:val="0"/>
          <w:color w:val="44515C"/>
          <w:sz w:val="16"/>
        </w:rPr>
        <w:fldChar w:fldCharType="begin"/>
        <w:instrText xml:space="preserve"> PAGEREF mv2_h_0289 \h </w:instrText>
        <w:fldChar w:fldCharType="separate"/>
        <w:t>0</w:t>
        <w:fldChar w:fldCharType="end"/>
      </w:r>
    </w:p>
    <w:p>
      <w:pPr>
        <w:pStyle w:val="TOC1"/>
        <w:tabs>
          <w:tab w:pos="9432" w:val="right" w:leader="dot"/>
        </w:tabs>
      </w:pPr>
      <w:hyperlink w:anchor="mv2_h_0291" w:history="1">
        <w:r>
          <w:rPr>
            <w:rFonts w:ascii="Carlito" w:hAnsi="Carlito"/>
            <w:color w:val="17324D"/>
          </w:rPr>
          <w:t>Appendix B. Root Reactor Module Inventory</w:t>
        </w:r>
      </w:hyperlink>
      <w:r>
        <w:tab/>
      </w:r>
      <w:r>
        <w:rPr>
          <w:rFonts w:ascii="Carlito" w:hAnsi="Carlito" w:eastAsia="Carlito"/>
          <w:b/>
          <w:color w:val="17324D"/>
          <w:sz w:val="17"/>
        </w:rPr>
        <w:fldChar w:fldCharType="begin"/>
        <w:instrText xml:space="preserve"> PAGEREF mv2_h_0291 \h </w:instrText>
        <w:fldChar w:fldCharType="separate"/>
        <w:t>0</w:t>
        <w:fldChar w:fldCharType="end"/>
      </w:r>
    </w:p>
    <w:p>
      <w:pPr>
        <w:pStyle w:val="TOC2"/>
        <w:tabs>
          <w:tab w:pos="9432" w:val="right" w:leader="dot"/>
        </w:tabs>
      </w:pPr>
      <w:hyperlink w:anchor="mv2_h_0292" w:history="1">
        <w:r>
          <w:rPr>
            <w:rFonts w:ascii="Carlito" w:hAnsi="Carlito"/>
            <w:color w:val="44515C"/>
          </w:rPr>
          <w:t>B.1 Active Modules</w:t>
        </w:r>
      </w:hyperlink>
      <w:r>
        <w:tab/>
      </w:r>
      <w:r>
        <w:rPr>
          <w:rFonts w:ascii="Carlito" w:hAnsi="Carlito" w:eastAsia="Carlito"/>
          <w:b w:val="0"/>
          <w:color w:val="44515C"/>
          <w:sz w:val="16"/>
        </w:rPr>
        <w:fldChar w:fldCharType="begin"/>
        <w:instrText xml:space="preserve"> PAGEREF mv2_h_0292 \h </w:instrText>
        <w:fldChar w:fldCharType="separate"/>
        <w:t>0</w:t>
        <w:fldChar w:fldCharType="end"/>
      </w:r>
    </w:p>
    <w:p>
      <w:pPr>
        <w:pStyle w:val="TOC2"/>
        <w:tabs>
          <w:tab w:pos="9432" w:val="right" w:leader="dot"/>
        </w:tabs>
      </w:pPr>
      <w:hyperlink w:anchor="mv2_h_0293" w:history="1">
        <w:r>
          <w:rPr>
            <w:rFonts w:ascii="Carlito" w:hAnsi="Carlito"/>
            <w:color w:val="44515C"/>
          </w:rPr>
          <w:t>B.2 Directories Outside the Active Reactor</w:t>
        </w:r>
      </w:hyperlink>
      <w:r>
        <w:tab/>
      </w:r>
      <w:r>
        <w:rPr>
          <w:rFonts w:ascii="Carlito" w:hAnsi="Carlito" w:eastAsia="Carlito"/>
          <w:b w:val="0"/>
          <w:color w:val="44515C"/>
          <w:sz w:val="16"/>
        </w:rPr>
        <w:fldChar w:fldCharType="begin"/>
        <w:instrText xml:space="preserve"> PAGEREF mv2_h_0293 \h </w:instrText>
        <w:fldChar w:fldCharType="separate"/>
        <w:t>0</w:t>
        <w:fldChar w:fldCharType="end"/>
      </w:r>
    </w:p>
    <w:p>
      <w:pPr>
        <w:pStyle w:val="TOC1"/>
        <w:tabs>
          <w:tab w:pos="9432" w:val="right" w:leader="dot"/>
        </w:tabs>
      </w:pPr>
      <w:hyperlink w:anchor="mv2_h_0295" w:history="1">
        <w:r>
          <w:rPr>
            <w:rFonts w:ascii="Carlito" w:hAnsi="Carlito"/>
            <w:color w:val="17324D"/>
          </w:rPr>
          <w:t>Appendix C. Configuration Reference</w:t>
        </w:r>
      </w:hyperlink>
      <w:r>
        <w:tab/>
      </w:r>
      <w:r>
        <w:rPr>
          <w:rFonts w:ascii="Carlito" w:hAnsi="Carlito" w:eastAsia="Carlito"/>
          <w:b/>
          <w:color w:val="17324D"/>
          <w:sz w:val="17"/>
        </w:rPr>
        <w:fldChar w:fldCharType="begin"/>
        <w:instrText xml:space="preserve"> PAGEREF mv2_h_0295 \h </w:instrText>
        <w:fldChar w:fldCharType="separate"/>
        <w:t>0</w:t>
        <w:fldChar w:fldCharType="end"/>
      </w:r>
    </w:p>
    <w:p>
      <w:pPr>
        <w:pStyle w:val="TOC2"/>
        <w:tabs>
          <w:tab w:pos="9432" w:val="right" w:leader="dot"/>
        </w:tabs>
      </w:pPr>
      <w:hyperlink w:anchor="mv2_h_0296" w:history="1">
        <w:r>
          <w:rPr>
            <w:rFonts w:ascii="Carlito" w:hAnsi="Carlito"/>
            <w:color w:val="44515C"/>
          </w:rPr>
          <w:t>C.1 Core Runtime Configuration</w:t>
        </w:r>
      </w:hyperlink>
      <w:r>
        <w:tab/>
      </w:r>
      <w:r>
        <w:rPr>
          <w:rFonts w:ascii="Carlito" w:hAnsi="Carlito" w:eastAsia="Carlito"/>
          <w:b w:val="0"/>
          <w:color w:val="44515C"/>
          <w:sz w:val="16"/>
        </w:rPr>
        <w:fldChar w:fldCharType="begin"/>
        <w:instrText xml:space="preserve"> PAGEREF mv2_h_0296 \h </w:instrText>
        <w:fldChar w:fldCharType="separate"/>
        <w:t>0</w:t>
        <w:fldChar w:fldCharType="end"/>
      </w:r>
    </w:p>
    <w:p>
      <w:pPr>
        <w:pStyle w:val="TOC1"/>
        <w:tabs>
          <w:tab w:pos="9432" w:val="right" w:leader="dot"/>
        </w:tabs>
      </w:pPr>
      <w:hyperlink w:anchor="mv2_h_0302" w:history="1">
        <w:r>
          <w:rPr>
            <w:rFonts w:ascii="Carlito" w:hAnsi="Carlito"/>
            <w:color w:val="17324D"/>
          </w:rPr>
          <w:t>Appendix D. Port and Endpoint Matrix</w:t>
        </w:r>
      </w:hyperlink>
      <w:r>
        <w:tab/>
      </w:r>
      <w:r>
        <w:rPr>
          <w:rFonts w:ascii="Carlito" w:hAnsi="Carlito" w:eastAsia="Carlito"/>
          <w:b/>
          <w:color w:val="17324D"/>
          <w:sz w:val="17"/>
        </w:rPr>
        <w:fldChar w:fldCharType="begin"/>
        <w:instrText xml:space="preserve"> PAGEREF mv2_h_0302 \h </w:instrText>
        <w:fldChar w:fldCharType="separate"/>
        <w:t>0</w:t>
        <w:fldChar w:fldCharType="end"/>
      </w:r>
    </w:p>
    <w:p>
      <w:pPr>
        <w:pStyle w:val="TOC2"/>
        <w:tabs>
          <w:tab w:pos="9432" w:val="right" w:leader="dot"/>
        </w:tabs>
      </w:pPr>
      <w:hyperlink w:anchor="mv2_h_0303" w:history="1">
        <w:r>
          <w:rPr>
            <w:rFonts w:ascii="Carlito" w:hAnsi="Carlito"/>
            <w:color w:val="44515C"/>
          </w:rPr>
          <w:t>D.1 Default Ports</w:t>
        </w:r>
      </w:hyperlink>
      <w:r>
        <w:tab/>
      </w:r>
      <w:r>
        <w:rPr>
          <w:rFonts w:ascii="Carlito" w:hAnsi="Carlito" w:eastAsia="Carlito"/>
          <w:b w:val="0"/>
          <w:color w:val="44515C"/>
          <w:sz w:val="16"/>
        </w:rPr>
        <w:fldChar w:fldCharType="begin"/>
        <w:instrText xml:space="preserve"> PAGEREF mv2_h_0303 \h </w:instrText>
        <w:fldChar w:fldCharType="separate"/>
        <w:t>0</w:t>
        <w:fldChar w:fldCharType="end"/>
      </w:r>
    </w:p>
    <w:p>
      <w:pPr>
        <w:pStyle w:val="TOC2"/>
        <w:tabs>
          <w:tab w:pos="9432" w:val="right" w:leader="dot"/>
        </w:tabs>
      </w:pPr>
      <w:hyperlink w:anchor="mv2_h_0304" w:history="1">
        <w:r>
          <w:rPr>
            <w:rFonts w:ascii="Carlito" w:hAnsi="Carlito"/>
            <w:color w:val="44515C"/>
          </w:rPr>
          <w:t>D.2 Representative Main-Application Paths</w:t>
        </w:r>
      </w:hyperlink>
      <w:r>
        <w:tab/>
      </w:r>
      <w:r>
        <w:rPr>
          <w:rFonts w:ascii="Carlito" w:hAnsi="Carlito" w:eastAsia="Carlito"/>
          <w:b w:val="0"/>
          <w:color w:val="44515C"/>
          <w:sz w:val="16"/>
        </w:rPr>
        <w:fldChar w:fldCharType="begin"/>
        <w:instrText xml:space="preserve"> PAGEREF mv2_h_0304 \h </w:instrText>
        <w:fldChar w:fldCharType="separate"/>
        <w:t>0</w:t>
        <w:fldChar w:fldCharType="end"/>
      </w:r>
    </w:p>
    <w:p>
      <w:pPr>
        <w:pStyle w:val="TOC1"/>
        <w:tabs>
          <w:tab w:pos="9432" w:val="right" w:leader="dot"/>
        </w:tabs>
      </w:pPr>
      <w:hyperlink w:anchor="mv2_h_0331" w:history="1">
        <w:r>
          <w:rPr>
            <w:rFonts w:ascii="Carlito" w:hAnsi="Carlito"/>
            <w:color w:val="17324D"/>
          </w:rPr>
          <w:t>Appendix E. Glossary</w:t>
        </w:r>
      </w:hyperlink>
      <w:r>
        <w:tab/>
      </w:r>
      <w:r>
        <w:rPr>
          <w:rFonts w:ascii="Carlito" w:hAnsi="Carlito" w:eastAsia="Carlito"/>
          <w:b/>
          <w:color w:val="17324D"/>
          <w:sz w:val="17"/>
        </w:rPr>
        <w:fldChar w:fldCharType="begin"/>
        <w:instrText xml:space="preserve"> PAGEREF mv2_h_0331 \h </w:instrText>
        <w:fldChar w:fldCharType="separate"/>
        <w:t>0</w:t>
        <w:fldChar w:fldCharType="end"/>
      </w:r>
    </w:p>
    <w:p>
      <w:pPr>
        <w:pStyle w:val="TOC1"/>
        <w:tabs>
          <w:tab w:pos="9432" w:val="right" w:leader="dot"/>
        </w:tabs>
      </w:pPr>
      <w:hyperlink w:anchor="mv2_h_0332" w:history="1">
        <w:r>
          <w:rPr>
            <w:rFonts w:ascii="Carlito" w:hAnsi="Carlito"/>
            <w:color w:val="17324D"/>
          </w:rPr>
          <w:t>Appendix F. Source Traceability Index</w:t>
        </w:r>
      </w:hyperlink>
      <w:r>
        <w:tab/>
      </w:r>
      <w:r>
        <w:rPr>
          <w:rFonts w:ascii="Carlito" w:hAnsi="Carlito" w:eastAsia="Carlito"/>
          <w:b/>
          <w:color w:val="17324D"/>
          <w:sz w:val="17"/>
        </w:rPr>
        <w:fldChar w:fldCharType="begin"/>
        <w:instrText xml:space="preserve"> PAGEREF mv2_h_0332 \h </w:instrText>
        <w:fldChar w:fldCharType="separate"/>
        <w:t>0</w:t>
        <w:fldChar w:fldCharType="end"/>
      </w:r>
    </w:p>
    <w:p>
      <w:pPr>
        <w:pStyle w:val="TOC2"/>
        <w:tabs>
          <w:tab w:pos="9432" w:val="right" w:leader="dot"/>
        </w:tabs>
      </w:pPr>
      <w:hyperlink w:anchor="mv2_h_0333" w:history="1">
        <w:r>
          <w:rPr>
            <w:rFonts w:ascii="Carlito" w:hAnsi="Carlito"/>
            <w:color w:val="44515C"/>
          </w:rPr>
          <w:t>F.1 Primary Repository Artifacts Consulted</w:t>
        </w:r>
      </w:hyperlink>
      <w:r>
        <w:tab/>
      </w:r>
      <w:r>
        <w:rPr>
          <w:rFonts w:ascii="Carlito" w:hAnsi="Carlito" w:eastAsia="Carlito"/>
          <w:b w:val="0"/>
          <w:color w:val="44515C"/>
          <w:sz w:val="16"/>
        </w:rPr>
        <w:fldChar w:fldCharType="begin"/>
        <w:instrText xml:space="preserve"> PAGEREF mv2_h_0333 \h </w:instrText>
        <w:fldChar w:fldCharType="separate"/>
        <w:t>0</w:t>
        <w:fldChar w:fldCharType="end"/>
      </w:r>
    </w:p>
    <w:p>
      <w:pPr>
        <w:pStyle w:val="TOC2"/>
        <w:tabs>
          <w:tab w:pos="9432" w:val="right" w:leader="dot"/>
        </w:tabs>
      </w:pPr>
      <w:hyperlink w:anchor="mv2_h_0334" w:history="1">
        <w:r>
          <w:rPr>
            <w:rFonts w:ascii="Carlito" w:hAnsi="Carlito"/>
            <w:color w:val="44515C"/>
          </w:rPr>
          <w:t>F.2 Interpretation Rule</w:t>
        </w:r>
      </w:hyperlink>
      <w:r>
        <w:tab/>
      </w:r>
      <w:r>
        <w:rPr>
          <w:rFonts w:ascii="Carlito" w:hAnsi="Carlito" w:eastAsia="Carlito"/>
          <w:b w:val="0"/>
          <w:color w:val="44515C"/>
          <w:sz w:val="16"/>
        </w:rPr>
        <w:fldChar w:fldCharType="begin"/>
        <w:instrText xml:space="preserve"> PAGEREF mv2_h_0334 \h </w:instrText>
        <w:fldChar w:fldCharType="separate"/>
        <w:t>0</w:t>
        <w:fldChar w:fldCharType="end"/>
      </w:r>
    </w:p>
    <w:p>
      <w:bookmarkStart w:id="372" w:name="mv2_h_0001"/>
      <w:pPr>
        <w:pStyle w:val="Heading1"/>
        <w:keepNext/>
        <w:widowControl/>
      </w:pPr>
      <w:r>
        <w:t xml:space="preserve">Executive Summary</w:t>
      </w:r>
      <w:bookmarkEnd w:id="372"/>
    </w:p>
    <w:p>
      <w:pPr>
        <w:pStyle w:val="FirstParagraph"/>
        <w:widowControl/>
        <w:jc w:val="left"/>
      </w:pPr>
      <w:r>
        <w:t xml:space="preserve">ManagerV2 is a Java 21 and Spring Boot warehouse-management backend organized as a modular monolith with a deliberately broad domain surface and a small set of separately deployable supporting services. The root Maven reactor brings together business modules for shipment handling, organization structure, authorization, delivery operations, devices, suppliers, transport assets, geocoding, path finding, document handling, messaging, and cross-process orchestration. The main</w:t>
      </w:r>
      <w:r>
        <w:t xml:space="preserve"> </w:t>
      </w:r>
      <w:r>
        <w:rPr>
          <w:rStyle w:val="VerbatimChar"/>
        </w:rPr>
        <w:t xml:space="preserve">Application</w:t>
      </w:r>
      <w:r>
        <w:t xml:space="preserve"> </w:t>
      </w:r>
      <w:r>
        <w:t xml:space="preserve">module assembles the implementation artifacts into one Spring Boot runtime, while</w:t>
      </w:r>
      <w:r>
        <w:t xml:space="preserve"> </w:t>
      </w:r>
      <w:r>
        <w:rPr>
          <w:rStyle w:val="VerbatimChar"/>
        </w:rPr>
        <w:t xml:space="preserve">Gateway</w:t>
      </w:r>
      <w:r>
        <w:t xml:space="preserve">,</w:t>
      </w:r>
      <w:r>
        <w:t xml:space="preserve"> </w:t>
      </w:r>
      <w:r>
        <w:rPr>
          <w:rStyle w:val="VerbatimChar"/>
        </w:rPr>
        <w:t xml:space="preserve">EurekaServer</w:t>
      </w:r>
      <w:r>
        <w:t xml:space="preserve">,</w:t>
      </w:r>
      <w:r>
        <w:t xml:space="preserve"> </w:t>
      </w:r>
      <w:r>
        <w:rPr>
          <w:rStyle w:val="VerbatimChar"/>
        </w:rPr>
        <w:t xml:space="preserve">SoftwareConfiguration</w:t>
      </w:r>
      <w:r>
        <w:t xml:space="preserve">,</w:t>
      </w:r>
      <w:r>
        <w:t xml:space="preserve"> </w:t>
      </w:r>
      <w:r>
        <w:rPr>
          <w:rStyle w:val="VerbatimChar"/>
        </w:rPr>
        <w:t xml:space="preserve">ReturningTrackManager</w:t>
      </w:r>
      <w:r>
        <w:t xml:space="preserve">,</w:t>
      </w:r>
      <w:r>
        <w:t xml:space="preserve"> </w:t>
      </w:r>
      <w:r>
        <w:rPr>
          <w:rStyle w:val="VerbatimChar"/>
        </w:rPr>
        <w:t xml:space="preserve">RouteTrackerFlow</w:t>
      </w:r>
      <w:r>
        <w:t xml:space="preserve">, and related service directories provide an additional distributed topology.</w:t>
      </w:r>
    </w:p>
    <w:p>
      <w:pPr>
        <w:pStyle w:val="BodyText"/>
        <w:widowControl/>
        <w:jc w:val="left"/>
      </w:pPr>
      <w:r>
        <w:t xml:space="preserve">The codebase follows an API/implementation split. Public contracts are exposed from modules whose names end in</w:t>
      </w:r>
      <w:r>
        <w:t xml:space="preserve"> </w:t>
      </w:r>
      <w:r>
        <w:rPr>
          <w:rStyle w:val="VerbatimChar"/>
        </w:rPr>
        <w:t xml:space="preserve">Api</w:t>
      </w:r>
      <w:r>
        <w:t xml:space="preserve">; internal application logic, adapters, controllers, persistence, and framework wiring live in modules whose names end in</w:t>
      </w:r>
      <w:r>
        <w:t xml:space="preserve"> </w:t>
      </w:r>
      <w:r>
        <w:rPr>
          <w:rStyle w:val="VerbatimChar"/>
        </w:rPr>
        <w:t xml:space="preserve">Impl</w:t>
      </w:r>
      <w:r>
        <w:t xml:space="preserve">. Repository-level engineering rules describe the intended style as hexagonal architecture: domain and application code depend on ports, while infrastructure adapters implement those ports. The</w:t>
      </w:r>
      <w:r>
        <w:t xml:space="preserve"> </w:t>
      </w:r>
      <w:r>
        <w:rPr>
          <w:rStyle w:val="VerbatimChar"/>
        </w:rPr>
        <w:t xml:space="preserve">ArchitectureTest</w:t>
      </w:r>
      <w:r>
        <w:t xml:space="preserve"> </w:t>
      </w:r>
      <w:r>
        <w:t xml:space="preserve">module is intended to enforce these boundaries.</w:t>
      </w:r>
    </w:p>
    <w:p>
      <w:pPr>
        <w:pStyle w:val="BodyText"/>
        <w:widowControl/>
        <w:jc w:val="left"/>
      </w:pPr>
      <w:r>
        <w:t xml:space="preserve">The application uses stateless JWT authentication, cookie-based access and refresh tokens, CSRF protection, CORS, device and internal synchronization filters, and method-level permission checks. The current release extends this model with operator-aware identity and data scoping. Operator context is carried through JWT claims, current-user abstractions, logging context, repositories, provisioning flows, and service integrations. This is the most important cross-cutting architectural concern in the current generation of the system.</w:t>
      </w:r>
    </w:p>
    <w:p>
      <w:pPr>
        <w:pStyle w:val="BodyText"/>
        <w:widowControl/>
        <w:jc w:val="left"/>
      </w:pPr>
      <w:r>
        <w:t xml:space="preserve">Persistence is primarily relational. The main application uses JPA and Liquibase, with MySQL as the documented local database and H2/PostgreSQL dependencies available for selected profiles or tests. The wider repository also provisions MongoDB for service-specific storage. Kafka is used for shipment, operator configuration, read-model synchronization, return, and process events. Synchronous integrations include SMTP, geocoding providers, InPost, service-to-service HTTP, and Eureka-based discovery.</w:t>
      </w:r>
    </w:p>
    <w:p>
      <w:pPr>
        <w:pStyle w:val="BodyText"/>
        <w:widowControl/>
        <w:jc w:val="left"/>
      </w:pPr>
      <w:r>
        <w:t>The documentation is based on the repository root reactor, module descriptors, application configuration, security configuration, build and container definitions, and representative controller and integration packages. The focus is the architecture and behavior expressed by those project artifacts.</w:t>
      </w:r>
    </w:p>
    <w:p>
      <w:bookmarkStart w:id="373" w:name="mv2_h_0002"/>
      <w:pPr>
        <w:pStyle w:val="Heading2"/>
        <w:keepNext/>
        <w:widowControl/>
        <w:spacing w:after="100"/>
      </w:pPr>
      <w:r>
        <w:t xml:space="preserve">Key Architectural Conclusions</w:t>
      </w:r>
      <w:bookmarkEnd w:id="373"/>
    </w:p>
    <w:tbl>
      <w:tblPr>
        <w:tblStyle w:val="Table"/>
        <w:tblW w:type="pct" w:w="5000"/>
        <w:jc w:val="center"/>
        <w:tblLayout w:type="fixed"/>
        <w:tblLook w:firstRow="1" w:lastRow="0" w:firstColumn="0" w:lastColumn="0" w:noHBand="0" w:noVBand="0" w:val="0020"/>
        <w:tblBorders>
          <w:top w:val="single" w:sz="4" w:space="0" w:color="D7E0E6"/>
          <w:left w:val="single" w:sz="4" w:space="0" w:color="D7E0E6"/>
          <w:bottom w:val="single" w:sz="4" w:space="0" w:color="D7E0E6"/>
          <w:right w:val="single" w:sz="4" w:space="0" w:color="D7E0E6"/>
          <w:insideH w:val="single" w:sz="4" w:space="0" w:color="D7E0E6"/>
          <w:insideV w:val="single" w:sz="4" w:space="0" w:color="D7E0E6"/>
        </w:tblBorders>
      </w:tblPr>
      <w:tblGrid>
        <w:gridCol w:w="3200"/>
        <w:gridCol w:w="6678"/>
      </w:tblGrid>
      <w:tr>
        <w:trPr>
          <w:tblHeader w:val="true"/>
          <w:cantSplit/>
        </w:trPr>
        <w:tc>
          <w:tcPr>
            <w:tcW w:type="dxa" w:w="3200"/>
            <w:tcMar>
              <w:top w:w="85" w:type="dxa"/>
              <w:start w:w="100" w:type="dxa"/>
              <w:bottom w:w="85" w:type="dxa"/>
              <w:end w:w="100" w:type="dxa"/>
            </w:tcMar>
            <w:vAlign w:val="center"/>
            <w:shd w:fill="17324D" w:val="clear"/>
          </w:tcPr>
          <w:p>
            <w:pPr>
              <w:pStyle w:val="Compact"/>
              <w:widowControl/>
              <w:spacing w:before="0" w:after="30" w:line="240" w:lineRule="auto"/>
              <w:jc w:val="left"/>
            </w:pPr>
            <w:r>
              <w:rPr>
                <w:rFonts w:ascii="Noto Sans" w:hAnsi="Noto Sans" w:eastAsia="Noto Sans"/>
                <w:b/>
                <w:color w:val="FFFFFF"/>
                <w:sz w:val="17"/>
              </w:rPr>
              <w:t xml:space="preserve">Area</w:t>
            </w:r>
          </w:p>
        </w:tc>
        <w:tc>
          <w:tcPr>
            <w:tcW w:type="dxa" w:w="6678"/>
            <w:tcMar>
              <w:top w:w="85" w:type="dxa"/>
              <w:start w:w="100" w:type="dxa"/>
              <w:bottom w:w="85" w:type="dxa"/>
              <w:end w:w="100" w:type="dxa"/>
            </w:tcMar>
            <w:vAlign w:val="center"/>
            <w:shd w:fill="17324D" w:val="clear"/>
          </w:tcPr>
          <w:p>
            <w:pPr>
              <w:pStyle w:val="Compact"/>
              <w:widowControl/>
              <w:spacing w:before="0" w:after="30" w:line="240" w:lineRule="auto"/>
              <w:jc w:val="left"/>
            </w:pPr>
            <w:r>
              <w:rPr>
                <w:rFonts w:ascii="Noto Sans" w:hAnsi="Noto Sans" w:eastAsia="Noto Sans"/>
                <w:b/>
                <w:color w:val="FFFFFF"/>
                <w:sz w:val="17"/>
              </w:rPr>
              <w:t xml:space="preserve">Conclusion</w:t>
            </w:r>
          </w:p>
        </w:tc>
      </w:tr>
      <w:tr>
        <w:trPr>
          <w:cantSplit/>
        </w:trPr>
        <w:tc>
          <w:tcPr>
            <w:tcW w:type="dxa" w:w="3200"/>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System shape</w:t>
            </w:r>
          </w:p>
        </w:tc>
        <w:tc>
          <w:tcPr>
            <w:tcW w:type="dxa" w:w="667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Modular monolith plus selected standalone services</w:t>
            </w:r>
          </w:p>
        </w:tc>
      </w:tr>
      <w:tr>
        <w:trPr>
          <w:cantSplit/>
        </w:trPr>
        <w:tc>
          <w:tcPr>
            <w:tcW w:type="dxa" w:w="3200"/>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Module design</w:t>
            </w:r>
          </w:p>
        </w:tc>
        <w:tc>
          <w:tcPr>
            <w:tcW w:type="dxa" w:w="667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API/Impl split with hexagonal intent</w:t>
            </w:r>
          </w:p>
        </w:tc>
      </w:tr>
      <w:tr>
        <w:trPr>
          <w:cantSplit/>
        </w:trPr>
        <w:tc>
          <w:tcPr>
            <w:tcW w:type="dxa" w:w="3200"/>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Identity</w:t>
            </w:r>
          </w:p>
        </w:tc>
        <w:tc>
          <w:tcPr>
            <w:tcW w:type="dxa" w:w="667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JWT, cookies, CSRF, device keys, internal synchronization credentials</w:t>
            </w:r>
          </w:p>
        </w:tc>
      </w:tr>
      <w:tr>
        <w:trPr>
          <w:cantSplit/>
        </w:trPr>
        <w:tc>
          <w:tcPr>
            <w:tcW w:type="dxa" w:w="3200"/>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Multi-tenancy</w:t>
            </w:r>
          </w:p>
        </w:tc>
        <w:tc>
          <w:tcPr>
            <w:tcW w:type="dxa" w:w="667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Operator-aware identity and persistence introduced in the current release</w:t>
            </w:r>
          </w:p>
        </w:tc>
      </w:tr>
      <w:tr>
        <w:trPr>
          <w:cantSplit/>
        </w:trPr>
        <w:tc>
          <w:tcPr>
            <w:tcW w:type="dxa" w:w="3200"/>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Data</w:t>
            </w:r>
          </w:p>
        </w:tc>
        <w:tc>
          <w:tcPr>
            <w:tcW w:type="dxa" w:w="667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JPA/Liquibase for the main application; additional MySQL and MongoDB stores</w:t>
            </w:r>
          </w:p>
        </w:tc>
      </w:tr>
      <w:tr>
        <w:trPr>
          <w:cantSplit/>
        </w:trPr>
        <w:tc>
          <w:tcPr>
            <w:tcW w:type="dxa" w:w="3200"/>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Messaging</w:t>
            </w:r>
          </w:p>
        </w:tc>
        <w:tc>
          <w:tcPr>
            <w:tcW w:type="dxa" w:w="667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Kafka-backed events and read-model synchronization</w:t>
            </w:r>
          </w:p>
        </w:tc>
      </w:tr>
      <w:tr>
        <w:trPr>
          <w:cantSplit/>
        </w:trPr>
        <w:tc>
          <w:tcPr>
            <w:tcW w:type="dxa" w:w="3200"/>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Deployment</w:t>
            </w:r>
          </w:p>
        </w:tc>
        <w:tc>
          <w:tcPr>
            <w:tcW w:type="dxa" w:w="667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Docker, Compose, Jenkins, GitLab CI, Eureka, custom gateway</w:t>
            </w:r>
          </w:p>
        </w:tc>
      </w:tr>
    </w:tbl>
    <w:p>
      <w:bookmarkStart w:id="375" w:name="mv2_h_0004"/>
      <w:pPr>
        <w:pStyle w:val="Heading1"/>
        <w:keepNext/>
        <w:widowControl/>
      </w:pPr>
      <w:r>
        <w:t xml:space="preserve">1. Purpose, Audience, and Documentation Scope</w:t>
      </w:r>
      <w:bookmarkEnd w:id="375"/>
    </w:p>
    <w:p>
      <w:bookmarkStart w:id="376" w:name="mv2_h_0005"/>
      <w:pPr>
        <w:pStyle w:val="Heading2"/>
        <w:keepNext/>
        <w:widowControl/>
      </w:pPr>
      <w:r>
        <w:t xml:space="preserve">1.1 Purpose</w:t>
      </w:r>
      <w:bookmarkEnd w:id="376"/>
    </w:p>
    <w:p>
      <w:pPr>
        <w:pStyle w:val="FirstParagraph"/>
        <w:widowControl/>
        <w:jc w:val="left"/>
      </w:pPr>
      <w:r>
        <w:t>This document is a technical reference for understanding ManagerV2. It consolidates information distributed across Maven descriptors, package structures, Spring configuration, security filters, Docker and CI files, release notes, and repository documentation.</w:t>
      </w:r>
    </w:p>
    <w:p>
      <w:pPr>
        <w:pStyle w:val="BodyText"/>
        <w:widowControl/>
        <w:jc w:val="left"/>
      </w:pPr>
      <w:r>
        <w:t xml:space="preserve">The document has four goals:</w:t>
      </w:r>
    </w:p>
    <w:p>
      <w:pPr>
        <w:pStyle w:val="Compact"/>
        <w:widowControl/>
        <w:numPr>
          <w:ilvl w:val="0"/>
          <w:numId w:val="1001"/>
        </w:numPr>
      </w:pPr>
      <w:r>
        <w:t xml:space="preserve">explain the system as a whole rather than as an unordered collection of modules;</w:t>
      </w:r>
    </w:p>
    <w:p>
      <w:pPr>
        <w:pStyle w:val="Compact"/>
        <w:widowControl/>
        <w:numPr>
          <w:ilvl w:val="0"/>
          <w:numId w:val="1001"/>
        </w:numPr>
      </w:pPr>
      <w:r>
        <w:t xml:space="preserve">make module and runtime boundaries explicit;</w:t>
      </w:r>
    </w:p>
    <w:p>
      <w:pPr>
        <w:pStyle w:val="Compact"/>
        <w:widowControl/>
        <w:numPr>
          <w:ilvl w:val="0"/>
          <w:numId w:val="1001"/>
        </w:numPr>
      </w:pPr>
      <w:r>
        <w:t>provide a consolidated reference for architecture, configuration, interfaces, and runtime behavior; and</w:t>
      </w:r>
    </w:p>
    <w:p>
      <w:pPr>
        <w:pStyle w:val="Compact"/>
        <w:widowControl/>
        <w:numPr>
          <w:ilvl w:val="0"/>
          <w:numId w:val="1001"/>
        </w:numPr>
      </w:pPr>
      <w:r>
        <w:t>document the current release scope, runtime topology, configuration, interfaces, and integration boundaries.</w:t>
      </w:r>
    </w:p>
    <w:p>
      <w:pPr>
        <w:pStyle w:val="FirstParagraph"/>
        <w:widowControl/>
        <w:jc w:val="left"/>
      </w:pPr>
      <w:r>
        <w:t>It is not an end-user manual and does not describe warehouse user-interface workflows. The emphasis is the backend platform, its contracts, runtime behavior, and module boundaries.</w:t>
      </w:r>
    </w:p>
    <w:p>
      <w:bookmarkStart w:id="377" w:name="mv2_h_0006"/>
      <w:pPr>
        <w:pStyle w:val="Heading2"/>
        <w:keepNext/>
        <w:widowControl/>
      </w:pPr>
      <w:r>
        <w:t xml:space="preserve">1.2 Intended Audience</w:t>
      </w:r>
      <w:bookmarkEnd w:id="377"/>
    </w:p>
    <w:p>
      <w:pPr>
        <w:pStyle w:val="FirstParagraph"/>
        <w:widowControl/>
        <w:jc w:val="left"/>
      </w:pPr>
      <w:r>
        <w:t xml:space="preserve">The primary audience consists of backend developers, technical leads, solution architects, DevOps engineers, security reviewers, QA engineers, and maintainers responsible for individual modules. Readers are expected to be familiar with Java, Maven, Spring Boot, HTTP APIs, relational databases, and basic event-driven architecture.</w:t>
      </w:r>
    </w:p>
    <w:p>
      <w:bookmarkStart w:id="378" w:name="mv2_h_0007"/>
      <w:pPr>
        <w:pStyle w:val="Heading2"/>
        <w:keepNext/>
        <w:widowControl/>
        <w:spacing w:after="100"/>
      </w:pPr>
      <w:r>
        <w:t xml:space="preserve">1.3 Documentation Scope</w:t>
      </w:r>
      <w:bookmarkEnd w:id="378"/>
    </w:p>
    <w:tbl>
      <w:tblPr>
        <w:tblStyle w:val="Table"/>
        <w:tblW w:type="auto" w:w="0"/>
        <w:jc w:val="center"/>
        <w:tblLayout w:type="fixed"/>
        <w:tblLook w:firstRow="1" w:lastRow="0" w:firstColumn="0" w:lastColumn="0" w:noHBand="0" w:noVBand="0" w:val="0020"/>
        <w:tblBorders>
          <w:top w:val="single" w:sz="4" w:space="0" w:color="D7E0E6"/>
          <w:left w:val="single" w:sz="4" w:space="0" w:color="D7E0E6"/>
          <w:bottom w:val="single" w:sz="4" w:space="0" w:color="D7E0E6"/>
          <w:right w:val="single" w:sz="4" w:space="0" w:color="D7E0E6"/>
          <w:insideH w:val="single" w:sz="4" w:space="0" w:color="D7E0E6"/>
          <w:insideV w:val="single" w:sz="4" w:space="0" w:color="D7E0E6"/>
        </w:tblBorders>
      </w:tblPr>
      <w:tblGrid>
        <w:gridCol w:w="3960"/>
        <w:gridCol w:w="3960"/>
      </w:tblGrid>
      <w:tr>
        <w:trPr>
          <w:tblHeader w:val="true"/>
          <w:cantSplit/>
        </w:trPr>
        <w:tc>
          <w:tcPr>
            <w:tcW w:type="dxa" w:w="2951"/>
            <w:tcMar>
              <w:top w:w="85" w:type="dxa"/>
              <w:start w:w="100" w:type="dxa"/>
              <w:bottom w:w="85" w:type="dxa"/>
              <w:end w:w="100" w:type="dxa"/>
            </w:tcMar>
            <w:vAlign w:val="center"/>
            <w:shd w:fill="17324D" w:val="clear"/>
          </w:tcPr>
          <w:p>
            <w:pPr>
              <w:pStyle w:val="Compact"/>
              <w:widowControl/>
              <w:spacing w:before="0" w:after="30" w:line="240" w:lineRule="auto"/>
              <w:jc w:val="left"/>
            </w:pPr>
            <w:r>
              <w:rPr>
                <w:rFonts w:ascii="Noto Sans" w:hAnsi="Noto Sans" w:eastAsia="Noto Sans"/>
                <w:b/>
                <w:color w:val="FFFFFF"/>
                <w:sz w:val="17"/>
              </w:rPr>
              <w:t xml:space="preserve">Item</w:t>
            </w:r>
          </w:p>
        </w:tc>
        <w:tc>
          <w:tcPr>
            <w:tcW w:type="dxa" w:w="6768"/>
            <w:tcMar>
              <w:top w:w="85" w:type="dxa"/>
              <w:start w:w="100" w:type="dxa"/>
              <w:bottom w:w="85" w:type="dxa"/>
              <w:end w:w="100" w:type="dxa"/>
            </w:tcMar>
            <w:vAlign w:val="center"/>
            <w:shd w:fill="17324D" w:val="clear"/>
          </w:tcPr>
          <w:p>
            <w:pPr>
              <w:pStyle w:val="Compact"/>
              <w:widowControl/>
              <w:spacing w:before="0" w:after="30" w:line="240" w:lineRule="auto"/>
              <w:jc w:val="left"/>
            </w:pPr>
            <w:r>
              <w:rPr>
                <w:rFonts w:ascii="Noto Sans" w:hAnsi="Noto Sans" w:eastAsia="Noto Sans"/>
                <w:b/>
                <w:color w:val="FFFFFF"/>
                <w:sz w:val="17"/>
              </w:rPr>
              <w:t xml:space="preserve">Reviewed value</w:t>
            </w:r>
          </w:p>
        </w:tc>
      </w:tr>
      <w:tr>
        <w:trPr>
          <w:cantSplit/>
        </w:trPr>
        <w:tc>
          <w:tcPr>
            <w:tcW w:type="dxa" w:w="2951"/>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Repository</w:t>
            </w:r>
          </w:p>
        </w:tc>
        <w:tc>
          <w:tcPr>
            <w:tcW w:type="dxa" w:w="6768"/>
            <w:tcMar>
              <w:top w:w="85" w:type="dxa"/>
              <w:start w:w="100" w:type="dxa"/>
              <w:bottom w:w="85" w:type="dxa"/>
              <w:end w:w="100" w:type="dxa"/>
            </w:tcMar>
            <w:vAlign w:val="center"/>
            <w:shd w:fill="FFFFFF" w:val="clear"/>
          </w:tcPr>
          <w:p>
            <w:pPr>
              <w:pStyle w:val="Compact"/>
              <w:widowControl/>
              <w:spacing w:before="0" w:after="30" w:line="240" w:lineRule="auto"/>
              <w:jc w:val="left"/>
            </w:pPr>
            <w:r>
              <w:rPr>
                <w:rStyle w:val="VerbatimChar"/>
                <w:rFonts w:ascii="Carlito" w:hAnsi="Carlito" w:eastAsia="Carlito"/>
                <w:color w:val="44515C"/>
                <w:sz w:val="17"/>
              </w:rPr>
              <w:t xml:space="preserve">sebastiansoja12/managerv2</w:t>
            </w:r>
          </w:p>
        </w:tc>
      </w:tr>
      <w:tr>
        <w:trPr>
          <w:cantSplit/>
        </w:trPr>
        <w:tc>
          <w:tcPr>
            <w:tcW w:type="dxa" w:w="2951"/>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Java</w:t>
            </w:r>
          </w:p>
        </w:tc>
        <w:tc>
          <w:tcPr>
            <w:tcW w:type="dxa" w:w="676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21</w:t>
            </w:r>
          </w:p>
        </w:tc>
      </w:tr>
      <w:tr>
        <w:trPr>
          <w:cantSplit/>
        </w:trPr>
        <w:tc>
          <w:tcPr>
            <w:tcW w:type="dxa" w:w="2951"/>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Spring Boot</w:t>
            </w:r>
          </w:p>
        </w:tc>
        <w:tc>
          <w:tcPr>
            <w:tcW w:type="dxa" w:w="676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3.5.5</w:t>
            </w:r>
          </w:p>
        </w:tc>
      </w:tr>
      <w:tr>
        <w:trPr>
          <w:cantSplit/>
        </w:trPr>
        <w:tc>
          <w:tcPr>
            <w:tcW w:type="dxa" w:w="2951"/>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Spring Cloud</w:t>
            </w:r>
          </w:p>
        </w:tc>
        <w:tc>
          <w:tcPr>
            <w:tcW w:type="dxa" w:w="676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2025.0.3</w:t>
            </w:r>
          </w:p>
        </w:tc>
      </w:tr>
      <w:tr>
        <w:trPr>
          <w:cantSplit/>
        </w:trPr>
        <w:tc>
          <w:tcPr>
            <w:tcW w:type="dxa" w:w="2951"/>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Primary build tool</w:t>
            </w:r>
          </w:p>
        </w:tc>
        <w:tc>
          <w:tcPr>
            <w:tcW w:type="dxa" w:w="676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Maven Wrapper / Maven</w:t>
            </w:r>
          </w:p>
        </w:tc>
      </w:tr>
      <w:tr>
        <w:trPr>
          <w:cantSplit/>
        </w:trPr>
        <w:tc>
          <w:tcPr>
            <w:tcW w:type="dxa" w:w="2951"/>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Documentation language</w:t>
            </w:r>
          </w:p>
        </w:tc>
        <w:tc>
          <w:tcPr>
            <w:tcW w:type="dxa" w:w="676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English</w:t>
            </w:r>
          </w:p>
        </w:tc>
      </w:tr>
    </w:tbl>
    <w:p>
      <w:pPr>
        <w:pStyle w:val="BodyText"/>
        <w:widowControl/>
        <w:jc w:val="left"/>
        <w:spacing w:before="90"/>
      </w:pPr>
      <w:r>
        <w:t>The documentation describes the repository structure and configuration reviewed for this edition. Runtime behavior can also depend on environment-specific configuration and deployed infrastructure.</w:t>
      </w:r>
    </w:p>
    <w:p>
      <w:bookmarkStart w:id="379" w:name="mv2_h_0008"/>
      <w:pPr>
        <w:pStyle w:val="Heading2"/>
        <w:keepNext/>
        <w:widowControl/>
      </w:pPr>
      <w:r>
        <w:t xml:space="preserve">1.4 Method of Analysis</w:t>
      </w:r>
      <w:bookmarkEnd w:id="379"/>
    </w:p>
    <w:p>
      <w:pPr>
        <w:pStyle w:val="FirstParagraph"/>
        <w:widowControl/>
        <w:jc w:val="left"/>
      </w:pPr>
      <w:r>
        <w:t>The analysis covered the root pom.xml, active module list, README, the Application bootstrap and configuration, authorization and security configuration, representative REST endpoints, Liquibase integration, Docker and Compose assets, Gateway and Eureka configuration, CI definitions, release notes, and the folder structure of the main domain modules.</w:t>
      </w:r>
    </w:p>
    <w:p>
      <w:bookmarkStart w:id="380" w:name="mv2_h_0009"/>
      <w:pPr>
        <w:pStyle w:val="Heading2"/>
        <w:keepNext/>
        <w:widowControl/>
        <w:spacing w:after="100"/>
      </w:pPr>
      <w:r>
        <w:t xml:space="preserve">1.5 Terminology</w:t>
      </w:r>
      <w:bookmarkEnd w:id="380"/>
    </w:p>
    <w:tbl>
      <w:tblPr>
        <w:tblStyle w:val="Table"/>
        <w:tblW w:type="pct" w:w="5000"/>
        <w:jc w:val="center"/>
        <w:tblLayout w:type="fixed"/>
        <w:tblLook w:firstRow="1" w:lastRow="0" w:firstColumn="0" w:lastColumn="0" w:noHBand="0" w:noVBand="0" w:val="0020"/>
        <w:tblBorders>
          <w:top w:val="single" w:sz="4" w:space="0" w:color="D7E0E6"/>
          <w:left w:val="single" w:sz="4" w:space="0" w:color="D7E0E6"/>
          <w:bottom w:val="single" w:sz="4" w:space="0" w:color="D7E0E6"/>
          <w:right w:val="single" w:sz="4" w:space="0" w:color="D7E0E6"/>
          <w:insideH w:val="single" w:sz="4" w:space="0" w:color="D7E0E6"/>
          <w:insideV w:val="single" w:sz="4" w:space="0" w:color="D7E0E6"/>
        </w:tblBorders>
      </w:tblPr>
      <w:tblGrid>
        <w:gridCol w:w="3960"/>
        <w:gridCol w:w="3960"/>
      </w:tblGrid>
      <w:tr>
        <w:trPr>
          <w:tblHeader w:val="true"/>
          <w:cantSplit/>
        </w:trPr>
        <w:tc>
          <w:tcPr>
            <w:tcW w:type="dxa" w:w="2951"/>
            <w:tcMar>
              <w:top w:w="85" w:type="dxa"/>
              <w:start w:w="100" w:type="dxa"/>
              <w:bottom w:w="85" w:type="dxa"/>
              <w:end w:w="100" w:type="dxa"/>
            </w:tcMar>
            <w:vAlign w:val="center"/>
            <w:shd w:fill="17324D" w:val="clear"/>
          </w:tcPr>
          <w:p>
            <w:pPr>
              <w:pStyle w:val="Compact"/>
              <w:widowControl/>
              <w:spacing w:before="0" w:after="30" w:line="240" w:lineRule="auto"/>
              <w:jc w:val="left"/>
            </w:pPr>
            <w:r>
              <w:rPr>
                <w:rFonts w:ascii="Noto Sans" w:hAnsi="Noto Sans" w:eastAsia="Noto Sans"/>
                <w:b/>
                <w:color w:val="FFFFFF"/>
                <w:sz w:val="17"/>
              </w:rPr>
              <w:t xml:space="preserve">Term</w:t>
            </w:r>
          </w:p>
        </w:tc>
        <w:tc>
          <w:tcPr>
            <w:tcW w:type="dxa" w:w="6768"/>
            <w:tcMar>
              <w:top w:w="85" w:type="dxa"/>
              <w:start w:w="100" w:type="dxa"/>
              <w:bottom w:w="85" w:type="dxa"/>
              <w:end w:w="100" w:type="dxa"/>
            </w:tcMar>
            <w:vAlign w:val="center"/>
            <w:shd w:fill="17324D" w:val="clear"/>
          </w:tcPr>
          <w:p>
            <w:pPr>
              <w:pStyle w:val="Compact"/>
              <w:widowControl/>
              <w:spacing w:before="0" w:after="30" w:line="240" w:lineRule="auto"/>
              <w:jc w:val="left"/>
            </w:pPr>
            <w:r>
              <w:rPr>
                <w:rFonts w:ascii="Noto Sans" w:hAnsi="Noto Sans" w:eastAsia="Noto Sans"/>
                <w:b/>
                <w:color w:val="FFFFFF"/>
                <w:sz w:val="17"/>
              </w:rPr>
              <w:t xml:space="preserve">Meaning in this document</w:t>
            </w:r>
          </w:p>
        </w:tc>
      </w:tr>
      <w:tr>
        <w:trPr>
          <w:cantSplit/>
        </w:trPr>
        <w:tc>
          <w:tcPr>
            <w:tcW w:type="dxa" w:w="2951"/>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Main application</w:t>
            </w:r>
          </w:p>
        </w:tc>
        <w:tc>
          <w:tcPr>
            <w:tcW w:type="dxa" w:w="676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The Spring Boot runtime built from the</w:t>
            </w:r>
            <w:r>
              <w:rPr>
                <w:rFonts w:ascii="Carlito" w:hAnsi="Carlito" w:eastAsia="Carlito"/>
                <w:color w:val="44515C"/>
                <w:sz w:val="17"/>
              </w:rPr>
              <w:t xml:space="preserve"> </w:t>
            </w:r>
            <w:r>
              <w:rPr>
                <w:rStyle w:val="VerbatimChar"/>
                <w:rFonts w:ascii="Carlito" w:hAnsi="Carlito" w:eastAsia="Carlito"/>
                <w:color w:val="44515C"/>
                <w:sz w:val="17"/>
              </w:rPr>
              <w:t xml:space="preserve">Application</w:t>
            </w:r>
            <w:r>
              <w:rPr>
                <w:rFonts w:ascii="Carlito" w:hAnsi="Carlito" w:eastAsia="Carlito"/>
                <w:color w:val="44515C"/>
                <w:sz w:val="17"/>
              </w:rPr>
              <w:t xml:space="preserve"> </w:t>
            </w:r>
            <w:r>
              <w:rPr>
                <w:rFonts w:ascii="Carlito" w:hAnsi="Carlito" w:eastAsia="Carlito"/>
                <w:color w:val="44515C"/>
                <w:sz w:val="17"/>
              </w:rPr>
              <w:t xml:space="preserve">module.</w:t>
            </w:r>
          </w:p>
        </w:tc>
      </w:tr>
      <w:tr>
        <w:trPr>
          <w:cantSplit/>
        </w:trPr>
        <w:tc>
          <w:tcPr>
            <w:tcW w:type="dxa" w:w="2951"/>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Module</w:t>
            </w:r>
          </w:p>
        </w:tc>
        <w:tc>
          <w:tcPr>
            <w:tcW w:type="dxa" w:w="676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A Maven subproject representing a public contract, implementation, shared library, test suite, or service.</w:t>
            </w:r>
          </w:p>
        </w:tc>
      </w:tr>
      <w:tr>
        <w:trPr>
          <w:cantSplit/>
        </w:trPr>
        <w:tc>
          <w:tcPr>
            <w:tcW w:type="dxa" w:w="2951"/>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API module</w:t>
            </w:r>
          </w:p>
        </w:tc>
        <w:tc>
          <w:tcPr>
            <w:tcW w:type="dxa" w:w="676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A module exposing stable compile-time contracts for other modules.</w:t>
            </w:r>
          </w:p>
        </w:tc>
      </w:tr>
      <w:tr>
        <w:trPr>
          <w:cantSplit/>
        </w:trPr>
        <w:tc>
          <w:tcPr>
            <w:tcW w:type="dxa" w:w="2951"/>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Impl module</w:t>
            </w:r>
          </w:p>
        </w:tc>
        <w:tc>
          <w:tcPr>
            <w:tcW w:type="dxa" w:w="676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A module containing application logic, infrastructure adapters, controllers, and Spring wiring.</w:t>
            </w:r>
          </w:p>
        </w:tc>
      </w:tr>
      <w:tr>
        <w:trPr>
          <w:cantSplit/>
        </w:trPr>
        <w:tc>
          <w:tcPr>
            <w:tcW w:type="dxa" w:w="2951"/>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Operator</w:t>
            </w:r>
          </w:p>
        </w:tc>
        <w:tc>
          <w:tcPr>
            <w:tcW w:type="dxa" w:w="676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The tenant-like organizational scope introduced across identity, storage, configuration, and integrations.</w:t>
            </w:r>
          </w:p>
        </w:tc>
      </w:tr>
      <w:tr>
        <w:trPr>
          <w:cantSplit/>
        </w:trPr>
        <w:tc>
          <w:tcPr>
            <w:tcW w:type="dxa" w:w="2951"/>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Read model</w:t>
            </w:r>
          </w:p>
        </w:tc>
        <w:tc>
          <w:tcPr>
            <w:tcW w:type="dxa" w:w="676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A query-optimized projection synchronized from domain or integration events.</w:t>
            </w:r>
          </w:p>
        </w:tc>
      </w:tr>
      <w:tr>
        <w:trPr>
          <w:cantSplit/>
        </w:trPr>
        <w:tc>
          <w:tcPr>
            <w:tcW w:type="dxa" w:w="2951"/>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Supporting service</w:t>
            </w:r>
          </w:p>
        </w:tc>
        <w:tc>
          <w:tcPr>
            <w:tcW w:type="dxa" w:w="676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A separately runnable Spring application outside the main modular-monolith runtime.</w:t>
            </w:r>
          </w:p>
        </w:tc>
      </w:tr>
      <w:tr>
        <w:trPr>
          <w:cantSplit/>
        </w:trPr>
        <w:tc>
          <w:tcPr>
            <w:tcW w:type="dxa" w:w="2951"/>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Internal endpoint</w:t>
            </w:r>
          </w:p>
        </w:tc>
        <w:tc>
          <w:tcPr>
            <w:tcW w:type="dxa" w:w="676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An endpoint intended for trusted service-to-service communication rather than public clients.</w:t>
            </w:r>
          </w:p>
        </w:tc>
      </w:tr>
    </w:tbl>
    <w:p>
      <w:bookmarkStart w:id="381" w:name="mv2_h_0010"/>
      <w:pPr>
        <w:pStyle w:val="Heading1"/>
        <w:keepNext/>
        <w:widowControl/>
      </w:pPr>
      <w:r>
        <w:t xml:space="preserve">2. Product and Domain Overview</w:t>
      </w:r>
      <w:bookmarkEnd w:id="381"/>
    </w:p>
    <w:p>
      <w:bookmarkStart w:id="382" w:name="mv2_h_0011"/>
      <w:pPr>
        <w:pStyle w:val="Heading2"/>
        <w:keepNext/>
        <w:widowControl/>
      </w:pPr>
      <w:r>
        <w:t xml:space="preserve">2.1 Product Scope</w:t>
      </w:r>
      <w:bookmarkEnd w:id="382"/>
    </w:p>
    <w:p>
      <w:pPr>
        <w:pStyle w:val="FirstParagraph"/>
        <w:widowControl/>
        <w:jc w:val="left"/>
      </w:pPr>
      <w:r>
        <w:t xml:space="preserve">ManagerV2 provides backend capabilities for warehouse and logistics management. The domain includes users and permissions, organizations and departments, shipments, delivery operations, returns, route tracking, devices, documents, suppliers, transport assets, geocoding, path selection, message delivery, and process orchestration. The repository is not limited to CRUD functions; it also models transitions, events, read projections, synchronization, device pairing, external carrier integrations, and operational workflows.</w:t>
      </w:r>
    </w:p>
    <w:p>
      <w:pPr>
        <w:pStyle w:val="BodyText"/>
        <w:widowControl/>
        <w:jc w:val="left"/>
      </w:pPr>
      <w:r>
        <w:t xml:space="preserve">A useful mental model is a logistics control plane. Business requests arrive through HTTP endpoints or event consumers, are authorized against user and operator context, modify transactional state, publish domain or integration events, and update projections or downstream services. The system combines synchronous commands with asynchronous propagation.</w:t>
      </w:r>
    </w:p>
    <w:p>
      <w:bookmarkStart w:id="383" w:name="mv2_h_0012"/>
      <w:pPr>
        <w:pStyle w:val="Heading2"/>
        <w:keepNext/>
        <w:widowControl/>
      </w:pPr>
      <w:r>
        <w:t xml:space="preserve">2.2 Core Business Capabilities</w:t>
      </w:r>
      <w:bookmarkEnd w:id="383"/>
    </w:p>
    <w:p>
      <w:bookmarkStart w:id="384" w:name="mv2_h_0013"/>
      <w:pPr>
        <w:pStyle w:val="Heading3"/>
        <w:keepNext/>
        <w:widowControl/>
      </w:pPr>
      <w:r>
        <w:t xml:space="preserve">2.2.1 Identity and Access</w:t>
      </w:r>
      <w:bookmarkEnd w:id="384"/>
    </w:p>
    <w:p>
      <w:pPr>
        <w:pStyle w:val="FirstParagraph"/>
        <w:widowControl/>
        <w:jc w:val="left"/>
      </w:pPr>
      <w:r>
        <w:t xml:space="preserve">The authorization area supports sign-up and login, token refresh and logout, current-user operations, password and language changes, user administration, role and permission management, operator-aware provisioning, and refresh-token maintenance. Identity information is then consumed by all protected business modules.</w:t>
      </w:r>
    </w:p>
    <w:p>
      <w:bookmarkStart w:id="385" w:name="mv2_h_0014"/>
      <w:pPr>
        <w:pStyle w:val="Heading3"/>
        <w:keepNext/>
        <w:widowControl/>
      </w:pPr>
      <w:r>
        <w:t xml:space="preserve">2.2.2 Organizational Model</w:t>
      </w:r>
      <w:bookmarkEnd w:id="385"/>
    </w:p>
    <w:p>
      <w:pPr>
        <w:pStyle w:val="FirstParagraph"/>
        <w:widowControl/>
        <w:jc w:val="left"/>
      </w:pPr>
      <w:r>
        <w:t xml:space="preserve">Organization and department modules maintain the structural context in which users and warehouse activities operate. The current release introduces operator-aware provisioning and synchronized read views for organizational information. These structures are security-sensitive because permissions, ownership, and data visibility can depend on them.</w:t>
      </w:r>
    </w:p>
    <w:p>
      <w:bookmarkStart w:id="386" w:name="mv2_h_0015"/>
      <w:pPr>
        <w:pStyle w:val="Heading3"/>
        <w:keepNext/>
        <w:widowControl/>
      </w:pPr>
      <w:r>
        <w:t xml:space="preserve">2.2.3 Shipment Lifecycle</w:t>
      </w:r>
      <w:bookmarkEnd w:id="386"/>
    </w:p>
    <w:p>
      <w:pPr>
        <w:pStyle w:val="FirstParagraph"/>
        <w:widowControl/>
        <w:jc w:val="left"/>
      </w:pPr>
      <w:r>
        <w:t xml:space="preserve">Shipment management is the central operational capability. It coordinates creation, state changes, return flows, delivery steps, documentation, event publication, and read synchronization. Shipment-related routes are also explicitly referenced in security configuration and Kafka topic configuration, making this domain a key integration boundary.</w:t>
      </w:r>
    </w:p>
    <w:p>
      <w:bookmarkStart w:id="387" w:name="mv2_h_0016"/>
      <w:pPr>
        <w:pStyle w:val="Heading3"/>
        <w:keepNext/>
        <w:widowControl/>
      </w:pPr>
      <w:r>
        <w:t xml:space="preserve">2.2.4 Delivery and Routing</w:t>
      </w:r>
      <w:bookmarkEnd w:id="387"/>
    </w:p>
    <w:p>
      <w:pPr>
        <w:pStyle w:val="FirstParagraph"/>
        <w:widowControl/>
        <w:jc w:val="left"/>
      </w:pPr>
      <w:r>
        <w:t xml:space="preserve">Delivery operations, route tracking, path finding, destination determination, dangerous-goods handling, and InPost integration support the physical movement of goods. Some functions reside in the main runtime; others are represented by separately deployable services. Route and return history may therefore cross process and storage boundaries.</w:t>
      </w:r>
    </w:p>
    <w:p>
      <w:bookmarkStart w:id="388" w:name="mv2_h_0017"/>
      <w:pPr>
        <w:pStyle w:val="Heading3"/>
        <w:keepNext/>
        <w:widowControl/>
      </w:pPr>
      <w:r>
        <w:t xml:space="preserve">2.2.5 Devices and Automation</w:t>
      </w:r>
      <w:bookmarkEnd w:id="388"/>
    </w:p>
    <w:p>
      <w:pPr>
        <w:pStyle w:val="FirstParagraph"/>
        <w:widowControl/>
        <w:jc w:val="left"/>
      </w:pPr>
      <w:r>
        <w:t>The Device area supports pairing and verification workflows and uses dedicated security filters or keys. Device identities are separate from human-user JWT identities.</w:t>
      </w:r>
    </w:p>
    <w:p>
      <w:bookmarkStart w:id="389" w:name="mv2_h_0018"/>
      <w:pPr>
        <w:pStyle w:val="Heading3"/>
        <w:keepNext/>
        <w:widowControl/>
      </w:pPr>
      <w:r>
        <w:t xml:space="preserve">2.2.6 Suppliers and Assets</w:t>
      </w:r>
      <w:bookmarkEnd w:id="389"/>
    </w:p>
    <w:p>
      <w:pPr>
        <w:pStyle w:val="FirstParagraph"/>
        <w:widowControl/>
        <w:jc w:val="left"/>
      </w:pPr>
      <w:r>
        <w:t>Supplier management, transport assets, driver-related functionality, and asset conversion support the resources used to fulfil logistics tasks and participate in the operator-aware domain model.</w:t>
      </w:r>
    </w:p>
    <w:p>
      <w:bookmarkStart w:id="390" w:name="mv2_h_0019"/>
      <w:pPr>
        <w:pStyle w:val="Heading3"/>
        <w:keepNext/>
        <w:widowControl/>
      </w:pPr>
      <w:r>
        <w:t xml:space="preserve">2.2.7 Communication and Documents</w:t>
      </w:r>
      <w:bookmarkEnd w:id="390"/>
    </w:p>
    <w:p>
      <w:pPr>
        <w:pStyle w:val="FirstParagraph"/>
        <w:widowControl/>
        <w:jc w:val="left"/>
      </w:pPr>
      <w:r>
        <w:t>Document management, message localization, and mail delivery support notifications and business records containing operational or personal data.</w:t>
      </w:r>
    </w:p>
    <w:p>
      <w:bookmarkStart w:id="391" w:name="mv2_h_0020"/>
      <w:pPr>
        <w:pStyle w:val="Heading2"/>
        <w:keepNext/>
        <w:widowControl/>
      </w:pPr>
      <w:r>
        <w:t xml:space="preserve">2.3 Typical End-to-End Scenario</w:t>
      </w:r>
      <w:bookmarkEnd w:id="391"/>
    </w:p>
    <w:p>
      <w:pPr>
        <w:pStyle w:val="FirstParagraph"/>
        <w:widowControl/>
        <w:jc w:val="left"/>
      </w:pPr>
      <w:r>
        <w:t xml:space="preserve">A representative flow is:</w:t>
      </w:r>
    </w:p>
    <w:p>
      <w:pPr>
        <w:pStyle w:val="Compact"/>
        <w:widowControl/>
        <w:numPr>
          <w:ilvl w:val="0"/>
          <w:numId w:val="1002"/>
        </w:numPr>
      </w:pPr>
      <w:r>
        <w:t xml:space="preserve">a user authenticates and receives access and refresh cookies;</w:t>
      </w:r>
    </w:p>
    <w:p>
      <w:pPr>
        <w:pStyle w:val="Compact"/>
        <w:widowControl/>
        <w:numPr>
          <w:ilvl w:val="0"/>
          <w:numId w:val="1002"/>
        </w:numPr>
      </w:pPr>
      <w:r>
        <w:t xml:space="preserve">the client obtains or refreshes an anti-CSRF token;</w:t>
      </w:r>
    </w:p>
    <w:p>
      <w:pPr>
        <w:pStyle w:val="Compact"/>
        <w:widowControl/>
        <w:numPr>
          <w:ilvl w:val="0"/>
          <w:numId w:val="1002"/>
        </w:numPr>
      </w:pPr>
      <w:r>
        <w:t xml:space="preserve">a shipment command reaches the application through the gateway or directly at</w:t>
      </w:r>
      <w:r>
        <w:t xml:space="preserve"> </w:t>
      </w:r>
      <w:r>
        <w:rPr>
          <w:rStyle w:val="VerbatimChar"/>
        </w:rPr>
        <w:t xml:space="preserve">/v2/api</w:t>
      </w:r>
      <w:r>
        <w:t xml:space="preserve">;</w:t>
      </w:r>
    </w:p>
    <w:p>
      <w:pPr>
        <w:pStyle w:val="Compact"/>
        <w:widowControl/>
        <w:numPr>
          <w:ilvl w:val="0"/>
          <w:numId w:val="1002"/>
        </w:numPr>
      </w:pPr>
      <w:r>
        <w:t xml:space="preserve">security filters build user and operator context;</w:t>
      </w:r>
    </w:p>
    <w:p>
      <w:pPr>
        <w:pStyle w:val="Compact"/>
        <w:widowControl/>
        <w:numPr>
          <w:ilvl w:val="0"/>
          <w:numId w:val="1002"/>
        </w:numPr>
      </w:pPr>
      <w:r>
        <w:t xml:space="preserve">method-level authorization verifies the required permission;</w:t>
      </w:r>
    </w:p>
    <w:p>
      <w:pPr>
        <w:pStyle w:val="Compact"/>
        <w:widowControl/>
        <w:numPr>
          <w:ilvl w:val="0"/>
          <w:numId w:val="1002"/>
        </w:numPr>
      </w:pPr>
      <w:r>
        <w:t xml:space="preserve">the shipment use case validates domain rules and persists state;</w:t>
      </w:r>
    </w:p>
    <w:p>
      <w:pPr>
        <w:pStyle w:val="Compact"/>
        <w:widowControl/>
        <w:numPr>
          <w:ilvl w:val="0"/>
          <w:numId w:val="1002"/>
        </w:numPr>
      </w:pPr>
      <w:r>
        <w:t xml:space="preserve">a domain or outbox event is published after the transaction is durable;</w:t>
      </w:r>
    </w:p>
    <w:p>
      <w:pPr>
        <w:pStyle w:val="Compact"/>
        <w:widowControl/>
        <w:numPr>
          <w:ilvl w:val="0"/>
          <w:numId w:val="1002"/>
        </w:numPr>
      </w:pPr>
      <w:r>
        <w:t xml:space="preserve">Kafka consumers update read models, route history, return processes, notifications, or external integrations; and</w:t>
      </w:r>
    </w:p>
    <w:p>
      <w:pPr>
        <w:pStyle w:val="Compact"/>
        <w:widowControl/>
        <w:numPr>
          <w:ilvl w:val="0"/>
          <w:numId w:val="1002"/>
        </w:numPr>
      </w:pPr>
      <w:r>
        <w:t xml:space="preserve">query endpoints return operator-scoped projections to the client.</w:t>
      </w:r>
    </w:p>
    <w:p>
      <w:bookmarkStart w:id="392" w:name="mv2_h_0021"/>
      <w:pPr>
        <w:pStyle w:val="Heading2"/>
        <w:keepNext/>
        <w:widowControl/>
      </w:pPr>
      <w:r>
        <w:t xml:space="preserve">2.4 Domain Ownership Principles</w:t>
      </w:r>
      <w:bookmarkEnd w:id="392"/>
    </w:p>
    <w:p>
      <w:pPr>
        <w:pStyle w:val="FirstParagraph"/>
        <w:widowControl/>
        <w:jc w:val="left"/>
      </w:pPr>
      <w:r>
        <w:t>Module boundaries align business invariants, persistence models, and event semantics with the owning domain. Cross-module access is represented through public API contracts and synchronized read models.</w:t>
      </w:r>
    </w:p>
    <w:p>
      <w:bookmarkStart w:id="393" w:name="mv2_h_0022"/>
      <w:pPr>
        <w:pStyle w:val="Heading2"/>
        <w:keepNext/>
        <w:widowControl/>
      </w:pPr>
      <w:r>
        <w:t xml:space="preserve">2.5 Non-Functional Characteristics</w:t>
      </w:r>
      <w:bookmarkEnd w:id="393"/>
    </w:p>
    <w:p>
      <w:pPr>
        <w:pStyle w:val="FirstParagraph"/>
        <w:widowControl/>
        <w:jc w:val="left"/>
      </w:pPr>
      <w:r>
        <w:t xml:space="preserve">ManagerV2 is designed around modularity, independent testability, service discovery, configuration profiles, security filters, event propagation, and database migration. The repository also shows requirements for localization, caching, scheduling, external-provider resilience, and containerized local infrastructure. These characteristics make correctness at boundaries more important than the behavior of any single controller.</w:t>
      </w:r>
    </w:p>
    <w:p>
      <w:bookmarkStart w:id="394" w:name="mv2_h_0023"/>
      <w:pPr>
        <w:pStyle w:val="Heading1"/>
        <w:keepNext/>
        <w:widowControl/>
      </w:pPr>
      <w:r>
        <w:t xml:space="preserve">3. Repository and Build Organization</w:t>
      </w:r>
      <w:bookmarkEnd w:id="394"/>
    </w:p>
    <w:p>
      <w:bookmarkStart w:id="395" w:name="mv2_h_0024"/>
      <w:pPr>
        <w:pStyle w:val="Heading2"/>
        <w:keepNext/>
        <w:widowControl/>
      </w:pPr>
      <w:r>
        <w:t xml:space="preserve">3.1 Root Maven Reactor</w:t>
      </w:r>
      <w:bookmarkEnd w:id="395"/>
    </w:p>
    <w:p>
      <w:pPr>
        <w:pStyle w:val="FirstParagraph"/>
        <w:widowControl/>
        <w:jc w:val="left"/>
        <w:spacing w:after="100"/>
      </w:pPr>
      <w:r>
        <w:t xml:space="preserve">The root project is a Maven aggregator with shared dependency management and plugin configuration. Its active reactor enumerates the following modules.</w:t>
      </w:r>
    </w:p>
    <w:tbl>
      <w:tblPr>
        <w:tblStyle w:val="Table"/>
        <w:tblW w:type="pct" w:w="5000"/>
        <w:jc w:val="center"/>
        <w:tblLayout w:type="fixed"/>
        <w:tblLook w:firstRow="1" w:lastRow="0" w:firstColumn="0" w:lastColumn="0" w:noHBand="0" w:noVBand="0" w:val="0020"/>
        <w:tblBorders>
          <w:top w:val="single" w:sz="4" w:space="0" w:color="D7E0E6"/>
          <w:left w:val="single" w:sz="4" w:space="0" w:color="D7E0E6"/>
          <w:bottom w:val="single" w:sz="4" w:space="0" w:color="D7E0E6"/>
          <w:right w:val="single" w:sz="4" w:space="0" w:color="D7E0E6"/>
          <w:insideH w:val="single" w:sz="4" w:space="0" w:color="D7E0E6"/>
          <w:insideV w:val="single" w:sz="4" w:space="0" w:color="D7E0E6"/>
        </w:tblBorders>
      </w:tblPr>
      <w:tblGrid>
        <w:gridCol w:w="3960"/>
        <w:gridCol w:w="3960"/>
      </w:tblGrid>
      <w:tr>
        <w:trPr>
          <w:tblHeader w:val="true"/>
          <w:cantSplit/>
        </w:trPr>
        <w:tc>
          <w:tcPr>
            <w:tcW w:type="dxa" w:w="2951"/>
            <w:tcMar>
              <w:top w:w="85" w:type="dxa"/>
              <w:start w:w="100" w:type="dxa"/>
              <w:bottom w:w="85" w:type="dxa"/>
              <w:end w:w="100" w:type="dxa"/>
            </w:tcMar>
            <w:vAlign w:val="center"/>
            <w:shd w:fill="17324D" w:val="clear"/>
          </w:tcPr>
          <w:p>
            <w:pPr>
              <w:pStyle w:val="Compact"/>
              <w:widowControl/>
              <w:spacing w:before="0" w:after="30" w:line="240" w:lineRule="auto"/>
              <w:jc w:val="left"/>
            </w:pPr>
            <w:r>
              <w:rPr>
                <w:rFonts w:ascii="Noto Sans" w:hAnsi="Noto Sans" w:eastAsia="Noto Sans"/>
                <w:b/>
                <w:color w:val="FFFFFF"/>
                <w:sz w:val="17"/>
              </w:rPr>
              <w:t xml:space="preserve">Module</w:t>
            </w:r>
          </w:p>
        </w:tc>
        <w:tc>
          <w:tcPr>
            <w:tcW w:type="dxa" w:w="6768"/>
            <w:tcMar>
              <w:top w:w="85" w:type="dxa"/>
              <w:start w:w="100" w:type="dxa"/>
              <w:bottom w:w="85" w:type="dxa"/>
              <w:end w:w="100" w:type="dxa"/>
            </w:tcMar>
            <w:vAlign w:val="center"/>
            <w:shd w:fill="17324D" w:val="clear"/>
          </w:tcPr>
          <w:p>
            <w:pPr>
              <w:pStyle w:val="Compact"/>
              <w:widowControl/>
              <w:spacing w:before="0" w:after="30" w:line="240" w:lineRule="auto"/>
              <w:jc w:val="left"/>
            </w:pPr>
            <w:r>
              <w:rPr>
                <w:rFonts w:ascii="Noto Sans" w:hAnsi="Noto Sans" w:eastAsia="Noto Sans"/>
                <w:b/>
                <w:color w:val="FFFFFF"/>
                <w:sz w:val="17"/>
              </w:rPr>
              <w:t xml:space="preserve">Primary role</w:t>
            </w:r>
          </w:p>
        </w:tc>
      </w:tr>
      <w:tr>
        <w:trPr>
          <w:cantSplit/>
        </w:trPr>
        <w:tc>
          <w:tcPr>
            <w:tcW w:type="dxa" w:w="2951"/>
            <w:tcMar>
              <w:top w:w="85" w:type="dxa"/>
              <w:start w:w="100" w:type="dxa"/>
              <w:bottom w:w="85" w:type="dxa"/>
              <w:end w:w="100" w:type="dxa"/>
            </w:tcMar>
            <w:vAlign w:val="center"/>
            <w:shd w:fill="FFFFFF" w:val="clear"/>
          </w:tcPr>
          <w:p>
            <w:pPr>
              <w:pStyle w:val="Compact"/>
              <w:widowControl/>
              <w:spacing w:before="0" w:after="30" w:line="240" w:lineRule="auto"/>
              <w:jc w:val="left"/>
            </w:pPr>
            <w:r>
              <w:rPr>
                <w:rStyle w:val="VerbatimChar"/>
                <w:rFonts w:ascii="Carlito" w:hAnsi="Carlito" w:eastAsia="Carlito"/>
                <w:color w:val="44515C"/>
                <w:sz w:val="17"/>
              </w:rPr>
              <w:t xml:space="preserve">Application</w:t>
            </w:r>
          </w:p>
        </w:tc>
        <w:tc>
          <w:tcPr>
            <w:tcW w:type="dxa" w:w="676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Main Spring Boot assembly and runtime configuration.</w:t>
            </w:r>
          </w:p>
        </w:tc>
      </w:tr>
      <w:tr>
        <w:trPr>
          <w:cantSplit/>
        </w:trPr>
        <w:tc>
          <w:tcPr>
            <w:tcW w:type="dxa" w:w="2951"/>
            <w:tcMar>
              <w:top w:w="85" w:type="dxa"/>
              <w:start w:w="100" w:type="dxa"/>
              <w:bottom w:w="85" w:type="dxa"/>
              <w:end w:w="100" w:type="dxa"/>
            </w:tcMar>
            <w:vAlign w:val="center"/>
            <w:shd w:fill="FFFFFF" w:val="clear"/>
          </w:tcPr>
          <w:p>
            <w:pPr>
              <w:pStyle w:val="Compact"/>
              <w:widowControl/>
              <w:spacing w:before="0" w:after="30" w:line="240" w:lineRule="auto"/>
              <w:jc w:val="left"/>
            </w:pPr>
            <w:r>
              <w:rPr>
                <w:rStyle w:val="VerbatimChar"/>
                <w:rFonts w:ascii="Carlito" w:hAnsi="Carlito" w:eastAsia="Carlito"/>
                <w:color w:val="44515C"/>
                <w:sz w:val="17"/>
              </w:rPr>
              <w:t xml:space="preserve">ShipmentManagement</w:t>
            </w:r>
          </w:p>
        </w:tc>
        <w:tc>
          <w:tcPr>
            <w:tcW w:type="dxa" w:w="676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Shipment contracts and implementation.</w:t>
            </w:r>
          </w:p>
        </w:tc>
      </w:tr>
      <w:tr>
        <w:trPr>
          <w:cantSplit/>
        </w:trPr>
        <w:tc>
          <w:tcPr>
            <w:tcW w:type="dxa" w:w="2951"/>
            <w:tcMar>
              <w:top w:w="85" w:type="dxa"/>
              <w:start w:w="100" w:type="dxa"/>
              <w:bottom w:w="85" w:type="dxa"/>
              <w:end w:w="100" w:type="dxa"/>
            </w:tcMar>
            <w:vAlign w:val="center"/>
            <w:shd w:fill="FFFFFF" w:val="clear"/>
          </w:tcPr>
          <w:p>
            <w:pPr>
              <w:pStyle w:val="Compact"/>
              <w:widowControl/>
              <w:spacing w:before="0" w:after="30" w:line="240" w:lineRule="auto"/>
              <w:jc w:val="left"/>
            </w:pPr>
            <w:r>
              <w:rPr>
                <w:rStyle w:val="VerbatimChar"/>
                <w:rFonts w:ascii="Carlito" w:hAnsi="Carlito" w:eastAsia="Carlito"/>
                <w:color w:val="44515C"/>
                <w:sz w:val="17"/>
              </w:rPr>
              <w:t xml:space="preserve">MailService</w:t>
            </w:r>
          </w:p>
        </w:tc>
        <w:tc>
          <w:tcPr>
            <w:tcW w:type="dxa" w:w="676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Outbound mail capability.</w:t>
            </w:r>
          </w:p>
        </w:tc>
      </w:tr>
      <w:tr>
        <w:trPr>
          <w:cantSplit/>
        </w:trPr>
        <w:tc>
          <w:tcPr>
            <w:tcW w:type="dxa" w:w="2951"/>
            <w:tcMar>
              <w:top w:w="85" w:type="dxa"/>
              <w:start w:w="100" w:type="dxa"/>
              <w:bottom w:w="85" w:type="dxa"/>
              <w:end w:w="100" w:type="dxa"/>
            </w:tcMar>
            <w:vAlign w:val="center"/>
            <w:shd w:fill="FFFFFF" w:val="clear"/>
          </w:tcPr>
          <w:p>
            <w:pPr>
              <w:pStyle w:val="Compact"/>
              <w:widowControl/>
              <w:spacing w:before="0" w:after="30" w:line="240" w:lineRule="auto"/>
              <w:jc w:val="left"/>
            </w:pPr>
            <w:r>
              <w:rPr>
                <w:rStyle w:val="VerbatimChar"/>
                <w:rFonts w:ascii="Carlito" w:hAnsi="Carlito" w:eastAsia="Carlito"/>
                <w:color w:val="44515C"/>
                <w:sz w:val="17"/>
              </w:rPr>
              <w:t xml:space="preserve">DepartmentService</w:t>
            </w:r>
          </w:p>
        </w:tc>
        <w:tc>
          <w:tcPr>
            <w:tcW w:type="dxa" w:w="676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Department management and projections.</w:t>
            </w:r>
          </w:p>
        </w:tc>
      </w:tr>
      <w:tr>
        <w:trPr>
          <w:cantSplit/>
        </w:trPr>
        <w:tc>
          <w:tcPr>
            <w:tcW w:type="dxa" w:w="2951"/>
            <w:tcMar>
              <w:top w:w="85" w:type="dxa"/>
              <w:start w:w="100" w:type="dxa"/>
              <w:bottom w:w="85" w:type="dxa"/>
              <w:end w:w="100" w:type="dxa"/>
            </w:tcMar>
            <w:vAlign w:val="center"/>
            <w:shd w:fill="FFFFFF" w:val="clear"/>
          </w:tcPr>
          <w:p>
            <w:pPr>
              <w:pStyle w:val="Compact"/>
              <w:widowControl/>
              <w:spacing w:before="0" w:after="30" w:line="240" w:lineRule="auto"/>
              <w:jc w:val="left"/>
            </w:pPr>
            <w:r>
              <w:rPr>
                <w:rStyle w:val="VerbatimChar"/>
                <w:rFonts w:ascii="Carlito" w:hAnsi="Carlito" w:eastAsia="Carlito"/>
                <w:color w:val="44515C"/>
                <w:sz w:val="17"/>
              </w:rPr>
              <w:t xml:space="preserve">OrganisationStructure</w:t>
            </w:r>
          </w:p>
        </w:tc>
        <w:tc>
          <w:tcPr>
            <w:tcW w:type="dxa" w:w="676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Organizational hierarchy and related rules.</w:t>
            </w:r>
          </w:p>
        </w:tc>
      </w:tr>
      <w:tr>
        <w:trPr>
          <w:cantSplit/>
        </w:trPr>
        <w:tc>
          <w:tcPr>
            <w:tcW w:type="dxa" w:w="2951"/>
            <w:tcMar>
              <w:top w:w="85" w:type="dxa"/>
              <w:start w:w="100" w:type="dxa"/>
              <w:bottom w:w="85" w:type="dxa"/>
              <w:end w:w="100" w:type="dxa"/>
            </w:tcMar>
            <w:vAlign w:val="center"/>
            <w:shd w:fill="FFFFFF" w:val="clear"/>
          </w:tcPr>
          <w:p>
            <w:pPr>
              <w:pStyle w:val="Compact"/>
              <w:widowControl/>
              <w:spacing w:before="0" w:after="30" w:line="240" w:lineRule="auto"/>
              <w:jc w:val="left"/>
            </w:pPr>
            <w:r>
              <w:rPr>
                <w:rStyle w:val="VerbatimChar"/>
                <w:rFonts w:ascii="Carlito" w:hAnsi="Carlito" w:eastAsia="Carlito"/>
                <w:color w:val="44515C"/>
                <w:sz w:val="17"/>
              </w:rPr>
              <w:t xml:space="preserve">DeliveryOperation</w:t>
            </w:r>
          </w:p>
        </w:tc>
        <w:tc>
          <w:tcPr>
            <w:tcW w:type="dxa" w:w="676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Delivery execution capabilities.</w:t>
            </w:r>
          </w:p>
        </w:tc>
      </w:tr>
      <w:tr>
        <w:trPr>
          <w:cantSplit/>
        </w:trPr>
        <w:tc>
          <w:tcPr>
            <w:tcW w:type="dxa" w:w="2951"/>
            <w:tcMar>
              <w:top w:w="85" w:type="dxa"/>
              <w:start w:w="100" w:type="dxa"/>
              <w:bottom w:w="85" w:type="dxa"/>
              <w:end w:w="100" w:type="dxa"/>
            </w:tcMar>
            <w:vAlign w:val="center"/>
            <w:shd w:fill="FFFFFF" w:val="clear"/>
          </w:tcPr>
          <w:p>
            <w:pPr>
              <w:pStyle w:val="Compact"/>
              <w:widowControl/>
              <w:spacing w:before="0" w:after="30" w:line="240" w:lineRule="auto"/>
              <w:jc w:val="left"/>
            </w:pPr>
            <w:r>
              <w:rPr>
                <w:rStyle w:val="VerbatimChar"/>
                <w:rFonts w:ascii="Carlito" w:hAnsi="Carlito" w:eastAsia="Carlito"/>
                <w:color w:val="44515C"/>
                <w:sz w:val="17"/>
              </w:rPr>
              <w:t xml:space="preserve">PathFinder</w:t>
            </w:r>
          </w:p>
        </w:tc>
        <w:tc>
          <w:tcPr>
            <w:tcW w:type="dxa" w:w="676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Path selection and route-related logic.</w:t>
            </w:r>
          </w:p>
        </w:tc>
      </w:tr>
      <w:tr>
        <w:trPr>
          <w:cantSplit/>
        </w:trPr>
        <w:tc>
          <w:tcPr>
            <w:tcW w:type="dxa" w:w="2951"/>
            <w:tcMar>
              <w:top w:w="85" w:type="dxa"/>
              <w:start w:w="100" w:type="dxa"/>
              <w:bottom w:w="85" w:type="dxa"/>
              <w:end w:w="100" w:type="dxa"/>
            </w:tcMar>
            <w:vAlign w:val="center"/>
            <w:shd w:fill="FFFFFF" w:val="clear"/>
          </w:tcPr>
          <w:p>
            <w:pPr>
              <w:pStyle w:val="Compact"/>
              <w:widowControl/>
              <w:spacing w:before="0" w:after="30" w:line="240" w:lineRule="auto"/>
              <w:jc w:val="left"/>
            </w:pPr>
            <w:r>
              <w:rPr>
                <w:rStyle w:val="VerbatimChar"/>
                <w:rFonts w:ascii="Carlito" w:hAnsi="Carlito" w:eastAsia="Carlito"/>
                <w:color w:val="44515C"/>
                <w:sz w:val="17"/>
              </w:rPr>
              <w:t xml:space="preserve">Authorization</w:t>
            </w:r>
          </w:p>
        </w:tc>
        <w:tc>
          <w:tcPr>
            <w:tcW w:type="dxa" w:w="676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Authentication, users, roles, permissions, tokens, and operator identity.</w:t>
            </w:r>
          </w:p>
        </w:tc>
      </w:tr>
      <w:tr>
        <w:trPr>
          <w:cantSplit/>
        </w:trPr>
        <w:tc>
          <w:tcPr>
            <w:tcW w:type="dxa" w:w="2951"/>
            <w:tcMar>
              <w:top w:w="85" w:type="dxa"/>
              <w:start w:w="100" w:type="dxa"/>
              <w:bottom w:w="85" w:type="dxa"/>
              <w:end w:w="100" w:type="dxa"/>
            </w:tcMar>
            <w:vAlign w:val="center"/>
            <w:shd w:fill="FFFFFF" w:val="clear"/>
          </w:tcPr>
          <w:p>
            <w:pPr>
              <w:pStyle w:val="Compact"/>
              <w:widowControl/>
              <w:spacing w:before="0" w:after="30" w:line="240" w:lineRule="auto"/>
              <w:jc w:val="left"/>
            </w:pPr>
            <w:r>
              <w:rPr>
                <w:rStyle w:val="VerbatimChar"/>
                <w:rFonts w:ascii="Carlito" w:hAnsi="Carlito" w:eastAsia="Carlito"/>
                <w:color w:val="44515C"/>
                <w:sz w:val="17"/>
              </w:rPr>
              <w:t xml:space="preserve">Utility</w:t>
            </w:r>
          </w:p>
        </w:tc>
        <w:tc>
          <w:tcPr>
            <w:tcW w:type="dxa" w:w="676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Reusable technical helpers.</w:t>
            </w:r>
          </w:p>
        </w:tc>
      </w:tr>
      <w:tr>
        <w:trPr>
          <w:cantSplit/>
        </w:trPr>
        <w:tc>
          <w:tcPr>
            <w:tcW w:type="dxa" w:w="2951"/>
            <w:tcMar>
              <w:top w:w="85" w:type="dxa"/>
              <w:start w:w="100" w:type="dxa"/>
              <w:bottom w:w="85" w:type="dxa"/>
              <w:end w:w="100" w:type="dxa"/>
            </w:tcMar>
            <w:vAlign w:val="center"/>
            <w:shd w:fill="FFFFFF" w:val="clear"/>
          </w:tcPr>
          <w:p>
            <w:pPr>
              <w:pStyle w:val="Compact"/>
              <w:widowControl/>
              <w:spacing w:before="0" w:after="30" w:line="240" w:lineRule="auto"/>
              <w:jc w:val="left"/>
            </w:pPr>
            <w:r>
              <w:rPr>
                <w:rStyle w:val="VerbatimChar"/>
                <w:rFonts w:ascii="Carlito" w:hAnsi="Carlito" w:eastAsia="Carlito"/>
                <w:color w:val="44515C"/>
                <w:sz w:val="17"/>
              </w:rPr>
              <w:t xml:space="preserve">DestinationDetermination</w:t>
            </w:r>
          </w:p>
        </w:tc>
        <w:tc>
          <w:tcPr>
            <w:tcW w:type="dxa" w:w="676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Destination resolution logic.</w:t>
            </w:r>
          </w:p>
        </w:tc>
      </w:tr>
      <w:tr>
        <w:trPr>
          <w:cantSplit/>
        </w:trPr>
        <w:tc>
          <w:tcPr>
            <w:tcW w:type="dxa" w:w="2951"/>
            <w:tcMar>
              <w:top w:w="85" w:type="dxa"/>
              <w:start w:w="100" w:type="dxa"/>
              <w:bottom w:w="85" w:type="dxa"/>
              <w:end w:w="100" w:type="dxa"/>
            </w:tcMar>
            <w:vAlign w:val="center"/>
            <w:shd w:fill="FFFFFF" w:val="clear"/>
          </w:tcPr>
          <w:p>
            <w:pPr>
              <w:pStyle w:val="Compact"/>
              <w:widowControl/>
              <w:spacing w:before="0" w:after="30" w:line="240" w:lineRule="auto"/>
              <w:jc w:val="left"/>
            </w:pPr>
            <w:r>
              <w:rPr>
                <w:rStyle w:val="VerbatimChar"/>
                <w:rFonts w:ascii="Carlito" w:hAnsi="Carlito" w:eastAsia="Carlito"/>
                <w:color w:val="44515C"/>
                <w:sz w:val="17"/>
              </w:rPr>
              <w:t xml:space="preserve">DocumentManager</w:t>
            </w:r>
          </w:p>
        </w:tc>
        <w:tc>
          <w:tcPr>
            <w:tcW w:type="dxa" w:w="676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Document handling capability.</w:t>
            </w:r>
          </w:p>
        </w:tc>
      </w:tr>
      <w:tr>
        <w:trPr>
          <w:cantSplit/>
        </w:trPr>
        <w:tc>
          <w:tcPr>
            <w:tcW w:type="dxa" w:w="2951"/>
            <w:tcMar>
              <w:top w:w="85" w:type="dxa"/>
              <w:start w:w="100" w:type="dxa"/>
              <w:bottom w:w="85" w:type="dxa"/>
              <w:end w:w="100" w:type="dxa"/>
            </w:tcMar>
            <w:vAlign w:val="center"/>
            <w:shd w:fill="FFFFFF" w:val="clear"/>
          </w:tcPr>
          <w:p>
            <w:pPr>
              <w:pStyle w:val="Compact"/>
              <w:widowControl/>
              <w:spacing w:before="0" w:after="30" w:line="240" w:lineRule="auto"/>
              <w:jc w:val="left"/>
            </w:pPr>
            <w:r>
              <w:rPr>
                <w:rStyle w:val="VerbatimChar"/>
                <w:rFonts w:ascii="Carlito" w:hAnsi="Carlito" w:eastAsia="Carlito"/>
                <w:color w:val="44515C"/>
                <w:sz w:val="17"/>
              </w:rPr>
              <w:t xml:space="preserve">ExceptionHandler</w:t>
            </w:r>
          </w:p>
        </w:tc>
        <w:tc>
          <w:tcPr>
            <w:tcW w:type="dxa" w:w="676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Shared exception-to-response behavior.</w:t>
            </w:r>
          </w:p>
        </w:tc>
      </w:tr>
      <w:tr>
        <w:trPr>
          <w:cantSplit/>
        </w:trPr>
        <w:tc>
          <w:tcPr>
            <w:tcW w:type="dxa" w:w="2951"/>
            <w:tcMar>
              <w:top w:w="85" w:type="dxa"/>
              <w:start w:w="100" w:type="dxa"/>
              <w:bottom w:w="85" w:type="dxa"/>
              <w:end w:w="100" w:type="dxa"/>
            </w:tcMar>
            <w:vAlign w:val="center"/>
            <w:shd w:fill="FFFFFF" w:val="clear"/>
          </w:tcPr>
          <w:p>
            <w:pPr>
              <w:pStyle w:val="Compact"/>
              <w:widowControl/>
              <w:spacing w:before="0" w:after="30" w:line="240" w:lineRule="auto"/>
              <w:jc w:val="left"/>
            </w:pPr>
            <w:r>
              <w:rPr>
                <w:rStyle w:val="VerbatimChar"/>
                <w:rFonts w:ascii="Carlito" w:hAnsi="Carlito" w:eastAsia="Carlito"/>
                <w:color w:val="44515C"/>
                <w:sz w:val="17"/>
              </w:rPr>
              <w:t xml:space="preserve">Device</w:t>
            </w:r>
          </w:p>
        </w:tc>
        <w:tc>
          <w:tcPr>
            <w:tcW w:type="dxa" w:w="676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Device identity, pairing, and verification.</w:t>
            </w:r>
          </w:p>
        </w:tc>
      </w:tr>
      <w:tr>
        <w:trPr>
          <w:cantSplit/>
        </w:trPr>
        <w:tc>
          <w:tcPr>
            <w:tcW w:type="dxa" w:w="2951"/>
            <w:tcMar>
              <w:top w:w="85" w:type="dxa"/>
              <w:start w:w="100" w:type="dxa"/>
              <w:bottom w:w="85" w:type="dxa"/>
              <w:end w:w="100" w:type="dxa"/>
            </w:tcMar>
            <w:vAlign w:val="center"/>
            <w:shd w:fill="FFFFFF" w:val="clear"/>
          </w:tcPr>
          <w:p>
            <w:pPr>
              <w:pStyle w:val="Compact"/>
              <w:widowControl/>
              <w:spacing w:before="0" w:after="30" w:line="240" w:lineRule="auto"/>
              <w:jc w:val="left"/>
            </w:pPr>
            <w:r>
              <w:rPr>
                <w:rStyle w:val="VerbatimChar"/>
                <w:rFonts w:ascii="Carlito" w:hAnsi="Carlito" w:eastAsia="Carlito"/>
                <w:color w:val="44515C"/>
                <w:sz w:val="17"/>
              </w:rPr>
              <w:t xml:space="preserve">ArchitectureTest</w:t>
            </w:r>
          </w:p>
        </w:tc>
        <w:tc>
          <w:tcPr>
            <w:tcW w:type="dxa" w:w="676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Architectural boundary tests.</w:t>
            </w:r>
          </w:p>
        </w:tc>
      </w:tr>
      <w:tr>
        <w:trPr>
          <w:cantSplit/>
        </w:trPr>
        <w:tc>
          <w:tcPr>
            <w:tcW w:type="dxa" w:w="2951"/>
            <w:tcMar>
              <w:top w:w="85" w:type="dxa"/>
              <w:start w:w="100" w:type="dxa"/>
              <w:bottom w:w="85" w:type="dxa"/>
              <w:end w:w="100" w:type="dxa"/>
            </w:tcMar>
            <w:vAlign w:val="center"/>
            <w:shd w:fill="FFFFFF" w:val="clear"/>
          </w:tcPr>
          <w:p>
            <w:pPr>
              <w:pStyle w:val="Compact"/>
              <w:widowControl/>
              <w:spacing w:before="0" w:after="30" w:line="240" w:lineRule="auto"/>
              <w:jc w:val="left"/>
            </w:pPr>
            <w:r>
              <w:rPr>
                <w:rStyle w:val="VerbatimChar"/>
                <w:rFonts w:ascii="Carlito" w:hAnsi="Carlito" w:eastAsia="Carlito"/>
                <w:color w:val="44515C"/>
                <w:sz w:val="17"/>
              </w:rPr>
              <w:t xml:space="preserve">ManagerTools</w:t>
            </w:r>
          </w:p>
        </w:tc>
        <w:tc>
          <w:tcPr>
            <w:tcW w:type="dxa" w:w="676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Project-specific tooling and utilities.</w:t>
            </w:r>
          </w:p>
        </w:tc>
      </w:tr>
      <w:tr>
        <w:trPr>
          <w:cantSplit/>
        </w:trPr>
        <w:tc>
          <w:tcPr>
            <w:tcW w:type="dxa" w:w="2951"/>
            <w:tcMar>
              <w:top w:w="85" w:type="dxa"/>
              <w:start w:w="100" w:type="dxa"/>
              <w:bottom w:w="85" w:type="dxa"/>
              <w:end w:w="100" w:type="dxa"/>
            </w:tcMar>
            <w:vAlign w:val="center"/>
            <w:shd w:fill="FFFFFF" w:val="clear"/>
          </w:tcPr>
          <w:p>
            <w:pPr>
              <w:pStyle w:val="Compact"/>
              <w:widowControl/>
              <w:spacing w:before="0" w:after="30" w:line="240" w:lineRule="auto"/>
              <w:jc w:val="left"/>
            </w:pPr>
            <w:r>
              <w:rPr>
                <w:rStyle w:val="VerbatimChar"/>
                <w:rFonts w:ascii="Carlito" w:hAnsi="Carlito" w:eastAsia="Carlito"/>
                <w:color w:val="44515C"/>
                <w:sz w:val="17"/>
              </w:rPr>
              <w:t xml:space="preserve">E2E</w:t>
            </w:r>
          </w:p>
        </w:tc>
        <w:tc>
          <w:tcPr>
            <w:tcW w:type="dxa" w:w="676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End-to-end tests and fixtures.</w:t>
            </w:r>
          </w:p>
        </w:tc>
      </w:tr>
      <w:tr>
        <w:trPr>
          <w:cantSplit/>
        </w:trPr>
        <w:tc>
          <w:tcPr>
            <w:tcW w:type="dxa" w:w="2951"/>
            <w:tcMar>
              <w:top w:w="85" w:type="dxa"/>
              <w:start w:w="100" w:type="dxa"/>
              <w:bottom w:w="85" w:type="dxa"/>
              <w:end w:w="100" w:type="dxa"/>
            </w:tcMar>
            <w:vAlign w:val="center"/>
            <w:shd w:fill="FFFFFF" w:val="clear"/>
          </w:tcPr>
          <w:p>
            <w:pPr>
              <w:pStyle w:val="Compact"/>
              <w:widowControl/>
              <w:spacing w:before="0" w:after="30" w:line="240" w:lineRule="auto"/>
              <w:jc w:val="left"/>
            </w:pPr>
            <w:r>
              <w:rPr>
                <w:rStyle w:val="VerbatimChar"/>
                <w:rFonts w:ascii="Carlito" w:hAnsi="Carlito" w:eastAsia="Carlito"/>
                <w:color w:val="44515C"/>
                <w:sz w:val="17"/>
              </w:rPr>
              <w:t xml:space="preserve">Common</w:t>
            </w:r>
          </w:p>
        </w:tc>
        <w:tc>
          <w:tcPr>
            <w:tcW w:type="dxa" w:w="676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Shared technical or cross-domain abstractions.</w:t>
            </w:r>
          </w:p>
        </w:tc>
      </w:tr>
      <w:tr>
        <w:trPr>
          <w:cantSplit/>
        </w:trPr>
        <w:tc>
          <w:tcPr>
            <w:tcW w:type="dxa" w:w="2951"/>
            <w:tcMar>
              <w:top w:w="85" w:type="dxa"/>
              <w:start w:w="100" w:type="dxa"/>
              <w:bottom w:w="85" w:type="dxa"/>
              <w:end w:w="100" w:type="dxa"/>
            </w:tcMar>
            <w:vAlign w:val="center"/>
            <w:shd w:fill="FFFFFF" w:val="clear"/>
          </w:tcPr>
          <w:p>
            <w:pPr>
              <w:pStyle w:val="Compact"/>
              <w:widowControl/>
              <w:spacing w:before="0" w:after="30" w:line="240" w:lineRule="auto"/>
              <w:jc w:val="left"/>
            </w:pPr>
            <w:r>
              <w:rPr>
                <w:rStyle w:val="VerbatimChar"/>
                <w:rFonts w:ascii="Carlito" w:hAnsi="Carlito" w:eastAsia="Carlito"/>
                <w:color w:val="44515C"/>
                <w:sz w:val="17"/>
              </w:rPr>
              <w:t xml:space="preserve">AssetConverter</w:t>
            </w:r>
          </w:p>
        </w:tc>
        <w:tc>
          <w:tcPr>
            <w:tcW w:type="dxa" w:w="676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Asset conversion support.</w:t>
            </w:r>
          </w:p>
        </w:tc>
      </w:tr>
      <w:tr>
        <w:trPr>
          <w:cantSplit/>
        </w:trPr>
        <w:tc>
          <w:tcPr>
            <w:tcW w:type="dxa" w:w="2951"/>
            <w:tcMar>
              <w:top w:w="85" w:type="dxa"/>
              <w:start w:w="100" w:type="dxa"/>
              <w:bottom w:w="85" w:type="dxa"/>
              <w:end w:w="100" w:type="dxa"/>
            </w:tcMar>
            <w:vAlign w:val="center"/>
            <w:shd w:fill="FFFFFF" w:val="clear"/>
          </w:tcPr>
          <w:p>
            <w:pPr>
              <w:pStyle w:val="Compact"/>
              <w:widowControl/>
              <w:spacing w:before="0" w:after="30" w:line="240" w:lineRule="auto"/>
              <w:jc w:val="left"/>
            </w:pPr>
            <w:r>
              <w:rPr>
                <w:rStyle w:val="VerbatimChar"/>
                <w:rFonts w:ascii="Carlito" w:hAnsi="Carlito" w:eastAsia="Carlito"/>
                <w:color w:val="44515C"/>
                <w:sz w:val="17"/>
              </w:rPr>
              <w:t xml:space="preserve">MessageProvider</w:t>
            </w:r>
          </w:p>
        </w:tc>
        <w:tc>
          <w:tcPr>
            <w:tcW w:type="dxa" w:w="676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Message templates and localization support.</w:t>
            </w:r>
          </w:p>
        </w:tc>
      </w:tr>
      <w:tr>
        <w:trPr>
          <w:cantSplit/>
        </w:trPr>
        <w:tc>
          <w:tcPr>
            <w:tcW w:type="dxa" w:w="2951"/>
            <w:tcMar>
              <w:top w:w="85" w:type="dxa"/>
              <w:start w:w="100" w:type="dxa"/>
              <w:bottom w:w="85" w:type="dxa"/>
              <w:end w:w="100" w:type="dxa"/>
            </w:tcMar>
            <w:vAlign w:val="center"/>
            <w:shd w:fill="FFFFFF" w:val="clear"/>
          </w:tcPr>
          <w:p>
            <w:pPr>
              <w:pStyle w:val="Compact"/>
              <w:widowControl/>
              <w:spacing w:before="0" w:after="30" w:line="240" w:lineRule="auto"/>
              <w:jc w:val="left"/>
            </w:pPr>
            <w:r>
              <w:rPr>
                <w:rStyle w:val="VerbatimChar"/>
                <w:rFonts w:ascii="Carlito" w:hAnsi="Carlito" w:eastAsia="Carlito"/>
                <w:color w:val="44515C"/>
                <w:sz w:val="17"/>
              </w:rPr>
              <w:t xml:space="preserve">LogisticsOrchestrator</w:t>
            </w:r>
          </w:p>
        </w:tc>
        <w:tc>
          <w:tcPr>
            <w:tcW w:type="dxa" w:w="676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Coordination of logistics workflows.</w:t>
            </w:r>
          </w:p>
        </w:tc>
      </w:tr>
      <w:tr>
        <w:trPr>
          <w:cantSplit/>
        </w:trPr>
        <w:tc>
          <w:tcPr>
            <w:tcW w:type="dxa" w:w="2951"/>
            <w:tcMar>
              <w:top w:w="85" w:type="dxa"/>
              <w:start w:w="100" w:type="dxa"/>
              <w:bottom w:w="85" w:type="dxa"/>
              <w:end w:w="100" w:type="dxa"/>
            </w:tcMar>
            <w:vAlign w:val="center"/>
            <w:shd w:fill="FFFFFF" w:val="clear"/>
          </w:tcPr>
          <w:p>
            <w:pPr>
              <w:pStyle w:val="Compact"/>
              <w:widowControl/>
              <w:spacing w:before="0" w:after="30" w:line="240" w:lineRule="auto"/>
              <w:jc w:val="left"/>
            </w:pPr>
            <w:r>
              <w:rPr>
                <w:rStyle w:val="VerbatimChar"/>
                <w:rFonts w:ascii="Carlito" w:hAnsi="Carlito" w:eastAsia="Carlito"/>
                <w:color w:val="44515C"/>
                <w:sz w:val="17"/>
              </w:rPr>
              <w:t xml:space="preserve">CrossLogistics</w:t>
            </w:r>
          </w:p>
        </w:tc>
        <w:tc>
          <w:tcPr>
            <w:tcW w:type="dxa" w:w="676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Cross-cutting logistics capability.</w:t>
            </w:r>
          </w:p>
        </w:tc>
      </w:tr>
      <w:tr>
        <w:trPr>
          <w:cantSplit/>
        </w:trPr>
        <w:tc>
          <w:tcPr>
            <w:tcW w:type="dxa" w:w="2951"/>
            <w:tcMar>
              <w:top w:w="85" w:type="dxa"/>
              <w:start w:w="100" w:type="dxa"/>
              <w:bottom w:w="85" w:type="dxa"/>
              <w:end w:w="100" w:type="dxa"/>
            </w:tcMar>
            <w:vAlign w:val="center"/>
            <w:shd w:fill="FFFFFF" w:val="clear"/>
          </w:tcPr>
          <w:p>
            <w:pPr>
              <w:pStyle w:val="Compact"/>
              <w:widowControl/>
              <w:spacing w:before="0" w:after="30" w:line="240" w:lineRule="auto"/>
              <w:jc w:val="left"/>
            </w:pPr>
            <w:r>
              <w:rPr>
                <w:rStyle w:val="VerbatimChar"/>
                <w:rFonts w:ascii="Carlito" w:hAnsi="Carlito" w:eastAsia="Carlito"/>
                <w:color w:val="44515C"/>
                <w:sz w:val="17"/>
              </w:rPr>
              <w:t xml:space="preserve">Gateway</w:t>
            </w:r>
          </w:p>
        </w:tc>
        <w:tc>
          <w:tcPr>
            <w:tcW w:type="dxa" w:w="676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HTTP routing to the main application and services.</w:t>
            </w:r>
          </w:p>
        </w:tc>
      </w:tr>
      <w:tr>
        <w:trPr>
          <w:cantSplit/>
        </w:trPr>
        <w:tc>
          <w:tcPr>
            <w:tcW w:type="dxa" w:w="2951"/>
            <w:tcMar>
              <w:top w:w="85" w:type="dxa"/>
              <w:start w:w="100" w:type="dxa"/>
              <w:bottom w:w="85" w:type="dxa"/>
              <w:end w:w="100" w:type="dxa"/>
            </w:tcMar>
            <w:vAlign w:val="center"/>
            <w:shd w:fill="FFFFFF" w:val="clear"/>
          </w:tcPr>
          <w:p>
            <w:pPr>
              <w:pStyle w:val="Compact"/>
              <w:widowControl/>
              <w:spacing w:before="0" w:after="30" w:line="240" w:lineRule="auto"/>
              <w:jc w:val="left"/>
            </w:pPr>
            <w:r>
              <w:rPr>
                <w:rStyle w:val="VerbatimChar"/>
                <w:rFonts w:ascii="Carlito" w:hAnsi="Carlito" w:eastAsia="Carlito"/>
                <w:color w:val="44515C"/>
                <w:sz w:val="17"/>
              </w:rPr>
              <w:t xml:space="preserve">EurekaServer</w:t>
            </w:r>
          </w:p>
        </w:tc>
        <w:tc>
          <w:tcPr>
            <w:tcW w:type="dxa" w:w="676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Service registry.</w:t>
            </w:r>
          </w:p>
        </w:tc>
      </w:tr>
      <w:tr>
        <w:trPr>
          <w:cantSplit/>
        </w:trPr>
        <w:tc>
          <w:tcPr>
            <w:tcW w:type="dxa" w:w="2951"/>
            <w:tcMar>
              <w:top w:w="85" w:type="dxa"/>
              <w:start w:w="100" w:type="dxa"/>
              <w:bottom w:w="85" w:type="dxa"/>
              <w:end w:w="100" w:type="dxa"/>
            </w:tcMar>
            <w:vAlign w:val="center"/>
            <w:shd w:fill="FFFFFF" w:val="clear"/>
          </w:tcPr>
          <w:p>
            <w:pPr>
              <w:pStyle w:val="Compact"/>
              <w:widowControl/>
              <w:spacing w:before="0" w:after="30" w:line="240" w:lineRule="auto"/>
              <w:jc w:val="left"/>
            </w:pPr>
            <w:r>
              <w:rPr>
                <w:rStyle w:val="VerbatimChar"/>
                <w:rFonts w:ascii="Carlito" w:hAnsi="Carlito" w:eastAsia="Carlito"/>
                <w:color w:val="44515C"/>
                <w:sz w:val="17"/>
              </w:rPr>
              <w:t xml:space="preserve">SupplierServiceManagement</w:t>
            </w:r>
          </w:p>
        </w:tc>
        <w:tc>
          <w:tcPr>
            <w:tcW w:type="dxa" w:w="676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Supplier-related functionality.</w:t>
            </w:r>
          </w:p>
        </w:tc>
      </w:tr>
      <w:tr>
        <w:trPr>
          <w:cantSplit/>
        </w:trPr>
        <w:tc>
          <w:tcPr>
            <w:tcW w:type="dxa" w:w="2951"/>
            <w:tcMar>
              <w:top w:w="85" w:type="dxa"/>
              <w:start w:w="100" w:type="dxa"/>
              <w:bottom w:w="85" w:type="dxa"/>
              <w:end w:w="100" w:type="dxa"/>
            </w:tcMar>
            <w:vAlign w:val="center"/>
            <w:shd w:fill="FFFFFF" w:val="clear"/>
          </w:tcPr>
          <w:p>
            <w:pPr>
              <w:pStyle w:val="Compact"/>
              <w:widowControl/>
              <w:spacing w:before="0" w:after="30" w:line="240" w:lineRule="auto"/>
              <w:jc w:val="left"/>
            </w:pPr>
            <w:r>
              <w:rPr>
                <w:rStyle w:val="VerbatimChar"/>
                <w:rFonts w:ascii="Carlito" w:hAnsi="Carlito" w:eastAsia="Carlito"/>
                <w:color w:val="44515C"/>
                <w:sz w:val="17"/>
              </w:rPr>
              <w:t xml:space="preserve">TransportAssets</w:t>
            </w:r>
          </w:p>
        </w:tc>
        <w:tc>
          <w:tcPr>
            <w:tcW w:type="dxa" w:w="676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Vehicles or other transport-resource management.</w:t>
            </w:r>
          </w:p>
        </w:tc>
      </w:tr>
      <w:tr>
        <w:trPr>
          <w:cantSplit/>
        </w:trPr>
        <w:tc>
          <w:tcPr>
            <w:tcW w:type="dxa" w:w="2951"/>
            <w:tcMar>
              <w:top w:w="85" w:type="dxa"/>
              <w:start w:w="100" w:type="dxa"/>
              <w:bottom w:w="85" w:type="dxa"/>
              <w:end w:w="100" w:type="dxa"/>
            </w:tcMar>
            <w:vAlign w:val="center"/>
            <w:shd w:fill="FFFFFF" w:val="clear"/>
          </w:tcPr>
          <w:p>
            <w:pPr>
              <w:pStyle w:val="Compact"/>
              <w:widowControl/>
              <w:spacing w:before="0" w:after="30" w:line="240" w:lineRule="auto"/>
              <w:jc w:val="left"/>
            </w:pPr>
            <w:r>
              <w:rPr>
                <w:rStyle w:val="VerbatimChar"/>
                <w:rFonts w:ascii="Carlito" w:hAnsi="Carlito" w:eastAsia="Carlito"/>
                <w:color w:val="44515C"/>
                <w:sz w:val="17"/>
              </w:rPr>
              <w:t xml:space="preserve">DriverHub</w:t>
            </w:r>
          </w:p>
        </w:tc>
        <w:tc>
          <w:tcPr>
            <w:tcW w:type="dxa" w:w="676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Driver-related capability.</w:t>
            </w:r>
          </w:p>
        </w:tc>
      </w:tr>
      <w:tr>
        <w:trPr>
          <w:cantSplit/>
        </w:trPr>
        <w:tc>
          <w:tcPr>
            <w:tcW w:type="dxa" w:w="2951"/>
            <w:tcMar>
              <w:top w:w="85" w:type="dxa"/>
              <w:start w:w="100" w:type="dxa"/>
              <w:bottom w:w="85" w:type="dxa"/>
              <w:end w:w="100" w:type="dxa"/>
            </w:tcMar>
            <w:vAlign w:val="center"/>
            <w:shd w:fill="FFFFFF" w:val="clear"/>
          </w:tcPr>
          <w:p>
            <w:pPr>
              <w:pStyle w:val="Compact"/>
              <w:widowControl/>
              <w:spacing w:before="0" w:after="30" w:line="240" w:lineRule="auto"/>
              <w:jc w:val="left"/>
            </w:pPr>
            <w:r>
              <w:rPr>
                <w:rStyle w:val="VerbatimChar"/>
                <w:rFonts w:ascii="Carlito" w:hAnsi="Carlito" w:eastAsia="Carlito"/>
                <w:color w:val="44515C"/>
                <w:sz w:val="17"/>
              </w:rPr>
              <w:t xml:space="preserve">ProcessHub</w:t>
            </w:r>
          </w:p>
        </w:tc>
        <w:tc>
          <w:tcPr>
            <w:tcW w:type="dxa" w:w="676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Cross-module process coordination.</w:t>
            </w:r>
          </w:p>
        </w:tc>
      </w:tr>
      <w:tr>
        <w:trPr>
          <w:cantSplit/>
        </w:trPr>
        <w:tc>
          <w:tcPr>
            <w:tcW w:type="dxa" w:w="2951"/>
            <w:tcMar>
              <w:top w:w="85" w:type="dxa"/>
              <w:start w:w="100" w:type="dxa"/>
              <w:bottom w:w="85" w:type="dxa"/>
              <w:end w:w="100" w:type="dxa"/>
            </w:tcMar>
            <w:vAlign w:val="center"/>
            <w:shd w:fill="FFFFFF" w:val="clear"/>
          </w:tcPr>
          <w:p>
            <w:pPr>
              <w:pStyle w:val="Compact"/>
              <w:widowControl/>
              <w:spacing w:before="0" w:after="30" w:line="240" w:lineRule="auto"/>
              <w:jc w:val="left"/>
            </w:pPr>
            <w:r>
              <w:rPr>
                <w:rStyle w:val="VerbatimChar"/>
                <w:rFonts w:ascii="Carlito" w:hAnsi="Carlito" w:eastAsia="Carlito"/>
                <w:color w:val="44515C"/>
                <w:sz w:val="17"/>
              </w:rPr>
              <w:t xml:space="preserve">GeocodingService</w:t>
            </w:r>
          </w:p>
        </w:tc>
        <w:tc>
          <w:tcPr>
            <w:tcW w:type="dxa" w:w="676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Geocoding contracts, credentials, and provider integration.</w:t>
            </w:r>
          </w:p>
        </w:tc>
      </w:tr>
    </w:tbl>
    <w:p>
      <w:pPr>
        <w:pStyle w:val="BodyText"/>
        <w:widowControl/>
        <w:jc w:val="left"/>
        <w:spacing w:before="90"/>
      </w:pPr>
      <w:r>
        <w:t>Additional directories are present outside the active root reactor, including DeliveryProtection, PalletHandlingManager, ReturningTrackManager, RouteTrackerFlow, and SoftwareConfiguration. They appear to be service-oriented applications or independently built components.</w:t>
      </w:r>
    </w:p>
    <w:p>
      <w:bookmarkStart w:id="396" w:name="mv2_h_0025"/>
      <w:pPr>
        <w:pStyle w:val="Heading2"/>
        <w:keepNext/>
        <w:widowControl/>
      </w:pPr>
      <w:r>
        <w:t xml:space="preserve">3.2 Common Module Layout</w:t>
      </w:r>
      <w:bookmarkEnd w:id="396"/>
    </w:p>
    <w:p>
      <w:pPr>
        <w:pStyle w:val="FirstParagraph"/>
        <w:widowControl/>
        <w:jc w:val="left"/>
      </w:pPr>
      <w:r>
        <w:t xml:space="preserve">A feature area commonly contains one public API artifact and one implementation artifact. A simplified layout is:</w:t>
      </w:r>
    </w:p>
    <w:p>
      <w:pPr>
        <w:pStyle w:val="SourceCode"/>
        <w:widowControl/>
        <w:shd w:val="clear" w:fill="F3F6F8"/>
        <w:pBdr>
          <w:left w:val="single" w:sz="14" w:space="6" w:color="0F7C80"/>
        </w:pBdr>
      </w:pPr>
      <w:r>
        <w:rPr>
          <w:rStyle w:val="VerbatimChar"/>
          <w:rFonts w:ascii="DejaVu Sans Mono" w:hAnsi="DejaVu Sans Mono" w:eastAsia="DejaVu Sans Mono"/>
          <w:color w:val="10263B"/>
          <w:sz w:val="17"/>
        </w:rPr>
        <w:t xml:space="preserve">&lt;Feature&gt;/</w:t>
      </w:r>
      <w:r>
        <w:rPr>
          <w:rFonts w:ascii="DejaVu Sans Mono" w:hAnsi="DejaVu Sans Mono" w:eastAsia="DejaVu Sans Mono"/>
          <w:color w:val="10263B"/>
          <w:sz w:val="17"/>
        </w:rPr>
        <w:br/>
      </w:r>
      <w:r>
        <w:rPr>
          <w:rStyle w:val="VerbatimChar"/>
          <w:rFonts w:ascii="DejaVu Sans Mono" w:hAnsi="DejaVu Sans Mono" w:eastAsia="DejaVu Sans Mono"/>
          <w:color w:val="10263B"/>
          <w:sz w:val="17"/>
        </w:rPr>
        <w:t xml:space="preserve">  pom.xml</w:t>
      </w:r>
      <w:r>
        <w:rPr>
          <w:rFonts w:ascii="DejaVu Sans Mono" w:hAnsi="DejaVu Sans Mono" w:eastAsia="DejaVu Sans Mono"/>
          <w:color w:val="10263B"/>
          <w:sz w:val="17"/>
        </w:rPr>
        <w:br/>
      </w:r>
      <w:r>
        <w:rPr>
          <w:rStyle w:val="VerbatimChar"/>
          <w:rFonts w:ascii="DejaVu Sans Mono" w:hAnsi="DejaVu Sans Mono" w:eastAsia="DejaVu Sans Mono"/>
          <w:color w:val="10263B"/>
          <w:sz w:val="17"/>
        </w:rPr>
        <w:t xml:space="preserve">  &lt;Feature&gt;Api/</w:t>
      </w:r>
      <w:r>
        <w:rPr>
          <w:rFonts w:ascii="DejaVu Sans Mono" w:hAnsi="DejaVu Sans Mono" w:eastAsia="DejaVu Sans Mono"/>
          <w:color w:val="10263B"/>
          <w:sz w:val="17"/>
        </w:rPr>
        <w:br/>
      </w:r>
      <w:r>
        <w:rPr>
          <w:rStyle w:val="VerbatimChar"/>
          <w:rFonts w:ascii="DejaVu Sans Mono" w:hAnsi="DejaVu Sans Mono" w:eastAsia="DejaVu Sans Mono"/>
          <w:color w:val="10263B"/>
          <w:sz w:val="17"/>
        </w:rPr>
        <w:t xml:space="preserve">    pom.xml</w:t>
      </w:r>
      <w:r>
        <w:rPr>
          <w:rFonts w:ascii="DejaVu Sans Mono" w:hAnsi="DejaVu Sans Mono" w:eastAsia="DejaVu Sans Mono"/>
          <w:color w:val="10263B"/>
          <w:sz w:val="17"/>
        </w:rPr>
        <w:br/>
      </w:r>
      <w:r>
        <w:rPr>
          <w:rStyle w:val="VerbatimChar"/>
          <w:rFonts w:ascii="DejaVu Sans Mono" w:hAnsi="DejaVu Sans Mono" w:eastAsia="DejaVu Sans Mono"/>
          <w:color w:val="10263B"/>
          <w:sz w:val="17"/>
        </w:rPr>
        <w:t xml:space="preserve">    src/main/java/.../domain or contract packages</w:t>
      </w:r>
      <w:r>
        <w:rPr>
          <w:rFonts w:ascii="DejaVu Sans Mono" w:hAnsi="DejaVu Sans Mono" w:eastAsia="DejaVu Sans Mono"/>
          <w:color w:val="10263B"/>
          <w:sz w:val="17"/>
        </w:rPr>
        <w:br/>
      </w:r>
      <w:r>
        <w:rPr>
          <w:rStyle w:val="VerbatimChar"/>
          <w:rFonts w:ascii="DejaVu Sans Mono" w:hAnsi="DejaVu Sans Mono" w:eastAsia="DejaVu Sans Mono"/>
          <w:color w:val="10263B"/>
          <w:sz w:val="17"/>
        </w:rPr>
        <w:t xml:space="preserve">  &lt;Feature&gt;Impl/</w:t>
      </w:r>
      <w:r>
        <w:rPr>
          <w:rFonts w:ascii="DejaVu Sans Mono" w:hAnsi="DejaVu Sans Mono" w:eastAsia="DejaVu Sans Mono"/>
          <w:color w:val="10263B"/>
          <w:sz w:val="17"/>
        </w:rPr>
        <w:br/>
      </w:r>
      <w:r>
        <w:rPr>
          <w:rStyle w:val="VerbatimChar"/>
          <w:rFonts w:ascii="DejaVu Sans Mono" w:hAnsi="DejaVu Sans Mono" w:eastAsia="DejaVu Sans Mono"/>
          <w:color w:val="10263B"/>
          <w:sz w:val="17"/>
        </w:rPr>
        <w:t xml:space="preserve">    pom.xml</w:t>
      </w:r>
      <w:r>
        <w:rPr>
          <w:rFonts w:ascii="DejaVu Sans Mono" w:hAnsi="DejaVu Sans Mono" w:eastAsia="DejaVu Sans Mono"/>
          <w:color w:val="10263B"/>
          <w:sz w:val="17"/>
        </w:rPr>
        <w:br/>
      </w:r>
      <w:r>
        <w:rPr>
          <w:rStyle w:val="VerbatimChar"/>
          <w:rFonts w:ascii="DejaVu Sans Mono" w:hAnsi="DejaVu Sans Mono" w:eastAsia="DejaVu Sans Mono"/>
          <w:color w:val="10263B"/>
          <w:sz w:val="17"/>
        </w:rPr>
        <w:t xml:space="preserve">    src/main/java/.../domain</w:t>
      </w:r>
      <w:r>
        <w:rPr>
          <w:rFonts w:ascii="DejaVu Sans Mono" w:hAnsi="DejaVu Sans Mono" w:eastAsia="DejaVu Sans Mono"/>
          <w:color w:val="10263B"/>
          <w:sz w:val="17"/>
        </w:rPr>
        <w:br/>
      </w:r>
      <w:r>
        <w:rPr>
          <w:rStyle w:val="VerbatimChar"/>
          <w:rFonts w:ascii="DejaVu Sans Mono" w:hAnsi="DejaVu Sans Mono" w:eastAsia="DejaVu Sans Mono"/>
          <w:color w:val="10263B"/>
          <w:sz w:val="17"/>
        </w:rPr>
        <w:t xml:space="preserve">    src/main/java/.../configuration</w:t>
      </w:r>
      <w:r>
        <w:rPr>
          <w:rFonts w:ascii="DejaVu Sans Mono" w:hAnsi="DejaVu Sans Mono" w:eastAsia="DejaVu Sans Mono"/>
          <w:color w:val="10263B"/>
          <w:sz w:val="17"/>
        </w:rPr>
        <w:br/>
      </w:r>
      <w:r>
        <w:rPr>
          <w:rStyle w:val="VerbatimChar"/>
          <w:rFonts w:ascii="DejaVu Sans Mono" w:hAnsi="DejaVu Sans Mono" w:eastAsia="DejaVu Sans Mono"/>
          <w:color w:val="10263B"/>
          <w:sz w:val="17"/>
        </w:rPr>
        <w:t xml:space="preserve">    src/main/java/.../infrastructure/adapter</w:t>
      </w:r>
      <w:r>
        <w:rPr>
          <w:rFonts w:ascii="DejaVu Sans Mono" w:hAnsi="DejaVu Sans Mono" w:eastAsia="DejaVu Sans Mono"/>
          <w:color w:val="10263B"/>
          <w:sz w:val="17"/>
        </w:rPr>
        <w:br/>
      </w:r>
      <w:r>
        <w:rPr>
          <w:rStyle w:val="VerbatimChar"/>
          <w:rFonts w:ascii="DejaVu Sans Mono" w:hAnsi="DejaVu Sans Mono" w:eastAsia="DejaVu Sans Mono"/>
          <w:color w:val="10263B"/>
          <w:sz w:val="17"/>
        </w:rPr>
        <w:t xml:space="preserve">    src/test/java/...</w:t>
      </w:r>
    </w:p>
    <w:p>
      <w:pPr>
        <w:pStyle w:val="FirstParagraph"/>
        <w:widowControl/>
        <w:jc w:val="left"/>
      </w:pPr>
      <w:r>
        <w:t xml:space="preserve">The names vary between modules, especially where older</w:t>
      </w:r>
      <w:r>
        <w:t xml:space="preserve"> </w:t>
      </w:r>
      <w:r>
        <w:rPr>
          <w:rStyle w:val="VerbatimChar"/>
        </w:rPr>
        <w:t xml:space="preserve">Core</w:t>
      </w:r>
      <w:r>
        <w:t xml:space="preserve"> </w:t>
      </w:r>
      <w:r>
        <w:t xml:space="preserve">naming has been replaced by</w:t>
      </w:r>
      <w:r>
        <w:t xml:space="preserve"> </w:t>
      </w:r>
      <w:r>
        <w:rPr>
          <w:rStyle w:val="VerbatimChar"/>
        </w:rPr>
        <w:t xml:space="preserve">Impl</w:t>
      </w:r>
      <w:r>
        <w:t xml:space="preserve">. The intent is consistent: stable contracts remain small, while framework and infrastructure dependencies are contained in the implementation artifact.</w:t>
      </w:r>
    </w:p>
    <w:p>
      <w:bookmarkStart w:id="397" w:name="mv2_h_0026"/>
      <w:pPr>
        <w:pStyle w:val="Heading2"/>
        <w:keepNext/>
        <w:widowControl/>
      </w:pPr>
      <w:r>
        <w:t xml:space="preserve">3.3 Parent Version and Dependency Management</w:t>
      </w:r>
      <w:bookmarkEnd w:id="397"/>
    </w:p>
    <w:p>
      <w:pPr>
        <w:pStyle w:val="FirstParagraph"/>
        <w:widowControl/>
        <w:jc w:val="left"/>
      </w:pPr>
      <w:r>
        <w:t>The root coordinates the current project version, targets Java 21, and imports Spring Boot 3.5.5 and Spring Cloud 2025.0.3 dependency management. Child modules primarily inherit dependency versions from the parent and imported platform BOMs.</w:t>
      </w:r>
    </w:p>
    <w:p>
      <w:bookmarkStart w:id="398" w:name="mv2_h_0027"/>
      <w:pPr>
        <w:pStyle w:val="Heading2"/>
        <w:keepNext/>
        <w:widowControl/>
      </w:pPr>
      <w:r>
        <w:t xml:space="preserve">3.4 Maven Profiles</w:t>
      </w:r>
      <w:bookmarkEnd w:id="398"/>
    </w:p>
    <w:p>
      <w:pPr>
        <w:pStyle w:val="FirstParagraph"/>
        <w:widowControl/>
        <w:jc w:val="left"/>
      </w:pPr>
      <w:r>
        <w:t>The root defines application, development, and test-oriented Maven profiles. The application profile is active by default, and profile activation affects module selection, configuration, and build behavior.</w:t>
      </w:r>
    </w:p>
    <w:p>
      <w:bookmarkStart w:id="399" w:name="mv2_h_0028"/>
      <w:pPr>
        <w:pStyle w:val="Heading2"/>
        <w:keepNext/>
        <w:widowControl/>
      </w:pPr>
      <w:r>
        <w:t xml:space="preserve">3.5 Build Outputs</w:t>
      </w:r>
      <w:bookmarkEnd w:id="399"/>
    </w:p>
    <w:p>
      <w:pPr>
        <w:pStyle w:val="FirstParagraph"/>
        <w:widowControl/>
        <w:jc w:val="left"/>
      </w:pPr>
      <w:r>
        <w:t>The principal deployable artifact is the executable Spring Boot JAR produced by Application. Separately runnable services produce their own JARs, and selected Docker builds compile an individual project together with its dependencies.</w:t>
      </w:r>
    </w:p>
    <w:p>
      <w:bookmarkStart w:id="400" w:name="mv2_h_0029"/>
      <w:pPr>
        <w:pStyle w:val="Heading2"/>
        <w:keepNext/>
        <w:widowControl/>
      </w:pPr>
      <w:r>
        <w:t xml:space="preserve">3.6 Distribution Management</w:t>
      </w:r>
      <w:bookmarkEnd w:id="400"/>
    </w:p>
    <w:p>
      <w:pPr>
        <w:pStyle w:val="FirstParagraph"/>
        <w:widowControl/>
        <w:jc w:val="left"/>
      </w:pPr>
      <w:r>
        <w:t>The root POM declares distribution management against a localhost Nexus endpoint.</w:t>
      </w:r>
    </w:p>
    <w:p>
      <w:bookmarkStart w:id="402" w:name="mv2_h_0031"/>
      <w:pPr>
        <w:pStyle w:val="Heading1"/>
        <w:keepNext/>
        <w:widowControl/>
      </w:pPr>
      <w:r>
        <w:t xml:space="preserve">4. Architectural Overview</w:t>
      </w:r>
      <w:bookmarkEnd w:id="402"/>
    </w:p>
    <w:p>
      <w:bookmarkStart w:id="403" w:name="mv2_h_0032"/>
      <w:pPr>
        <w:pStyle w:val="Heading2"/>
        <w:keepNext/>
        <w:widowControl/>
      </w:pPr>
      <w:r>
        <w:t xml:space="preserve">4.1 Architectural Style</w:t>
      </w:r>
      <w:bookmarkEnd w:id="403"/>
    </w:p>
    <w:p>
      <w:pPr>
        <w:pStyle w:val="FirstParagraph"/>
        <w:widowControl/>
        <w:jc w:val="left"/>
      </w:pPr>
      <w:r>
        <w:t xml:space="preserve">The principal architectural style is a modular monolith implemented as a multi-module Maven project. The main runtime scans packages under</w:t>
      </w:r>
      <w:r>
        <w:t xml:space="preserve"> </w:t>
      </w:r>
      <w:r>
        <w:rPr>
          <w:rStyle w:val="VerbatimChar"/>
        </w:rPr>
        <w:t xml:space="preserve">com.warehouse.*</w:t>
      </w:r>
      <w:r>
        <w:t xml:space="preserve"> </w:t>
      </w:r>
      <w:r>
        <w:t xml:space="preserve">and composes the implementation artifacts into one Spring application. Within that process, modules are expected to maintain domain and dependency boundaries. Outside that process, a gateway, registry, and selected supporting services introduce distributed-system behavior.</w:t>
      </w:r>
    </w:p>
    <w:p>
      <w:pPr>
        <w:pStyle w:val="BodyText"/>
        <w:widowControl/>
        <w:jc w:val="left"/>
      </w:pPr>
      <w:r>
        <w:t xml:space="preserve">This hybrid shape provides the deployment simplicity of a monolith for the core platform while allowing selected workloads to evolve independently. It also creates two different failure models: in-process module calls fail synchronously with the application, whereas service calls and Kafka propagation can fail independently and require retries, timeouts, and reconciliation.</w:t>
      </w:r>
    </w:p>
    <w:p>
      <w:bookmarkStart w:id="404" w:name="mv2_h_0033"/>
      <w:pPr>
        <w:pStyle w:val="Heading2"/>
        <w:keepNext/>
        <w:widowControl/>
      </w:pPr>
      <w:r>
        <w:t xml:space="preserve">4.2 API/Impl Separation</w:t>
      </w:r>
      <w:bookmarkEnd w:id="404"/>
    </w:p>
    <w:p>
      <w:pPr>
        <w:pStyle w:val="CaptionedFigure"/>
        <w:keepNext/>
        <w:widowControl/>
        <w:jc w:val="center"/>
      </w:pPr>
      <w:r>
        <w:drawing>
          <wp:inline>
            <wp:extent cx="3840480" cy="5716153"/>
            <wp:effectExtent b="0" l="0" r="0" t="0"/>
            <wp:docPr descr="Typical API and implementation boundary" title="" id="52" name="Picture"/>
            <a:graphic>
              <a:graphicData uri="http://schemas.openxmlformats.org/drawingml/2006/picture">
                <pic:pic>
                  <pic:nvPicPr>
                    <pic:cNvPr descr="assets/hexagonal_module.png" id="53" name="Picture"/>
                    <pic:cNvPicPr>
                      <a:picLocks noChangeArrowheads="1" noChangeAspect="1"/>
                    </pic:cNvPicPr>
                  </pic:nvPicPr>
                  <pic:blipFill>
                    <a:blip r:embed="rId51"/>
                    <a:stretch>
                      <a:fillRect/>
                    </a:stretch>
                  </pic:blipFill>
                  <pic:spPr bwMode="auto">
                    <a:xfrm>
                      <a:off x="0" y="0"/>
                      <a:ext cx="3840480" cy="5716153"/>
                    </a:xfrm>
                    <a:prstGeom prst="rect">
                      <a:avLst/>
                    </a:prstGeom>
                    <a:noFill/>
                    <a:ln w="9525">
                      <a:noFill/>
                      <a:headEnd/>
                      <a:tailEnd/>
                    </a:ln>
                  </pic:spPr>
                </pic:pic>
              </a:graphicData>
            </a:graphic>
          </wp:inline>
        </w:drawing>
      </w:r>
    </w:p>
    <w:p>
      <w:pPr>
        <w:pStyle w:val="ImageCaption"/>
        <w:widowControl/>
        <w:jc w:val="center"/>
      </w:pPr>
      <w:r>
        <w:rPr>
          <w:rFonts w:ascii="Carlito" w:hAnsi="Carlito" w:eastAsia="Carlito"/>
          <w:i/>
          <w:color w:val="44515C"/>
          <w:sz w:val="17"/>
        </w:rPr>
        <w:t>Figure 1. Typical API and implementation boundary</w:t>
      </w:r>
    </w:p>
    <w:p>
      <w:pPr>
        <w:pStyle w:val="BodyText"/>
        <w:widowControl/>
        <w:jc w:val="left"/>
      </w:pPr>
      <w:r>
        <w:t>The API artifact acts as the compile-time boundary and contains commands, queries, data-transfer contracts, ports, event contracts, and interfaces. Framework-specific controllers, JPA entities, repository implementations, provider SDKs, and application configuration reside in implementation artifacts.</w:t>
      </w:r>
    </w:p>
    <w:p>
      <w:pPr>
        <w:pStyle w:val="BodyText"/>
        <w:widowControl/>
        <w:jc w:val="left"/>
      </w:pPr>
      <w:r>
        <w:t xml:space="preserve">The implementation artifact owns adapters and framework integration. Inbound adapters translate HTTP or message payloads into application commands. The application core applies business rules. Outbound ports describe required persistence or external behavior. Infrastructure adapters implement those ports.</w:t>
      </w:r>
    </w:p>
    <w:p>
      <w:bookmarkStart w:id="405" w:name="mv2_h_0034"/>
      <w:pPr>
        <w:pStyle w:val="Heading2"/>
        <w:keepNext/>
        <w:widowControl/>
      </w:pPr>
      <w:r>
        <w:t xml:space="preserve">4.3 Dependency Direction</w:t>
      </w:r>
      <w:bookmarkEnd w:id="405"/>
    </w:p>
    <w:p>
      <w:pPr>
        <w:pStyle w:val="FirstParagraph"/>
        <w:widowControl/>
        <w:jc w:val="left"/>
      </w:pPr>
      <w:r>
        <w:t>The intended dependency direction is:</w:t>
      </w:r>
    </w:p>
    <w:p>
      <w:pPr>
        <w:pStyle w:val="Compact"/>
        <w:widowControl/>
        <w:numPr>
          <w:ilvl w:val="0"/>
          <w:numId w:val="1004"/>
        </w:numPr>
      </w:pPr>
      <w:r>
        <w:t>domain logic depends on language and domain abstractions;</w:t>
      </w:r>
    </w:p>
    <w:p>
      <w:pPr>
        <w:pStyle w:val="Compact"/>
        <w:widowControl/>
        <w:numPr>
          <w:ilvl w:val="0"/>
          <w:numId w:val="1004"/>
        </w:numPr>
      </w:pPr>
      <w:r>
        <w:t>application services depend on domain objects and ports;</w:t>
      </w:r>
    </w:p>
    <w:p>
      <w:pPr>
        <w:pStyle w:val="Compact"/>
        <w:widowControl/>
        <w:numPr>
          <w:ilvl w:val="0"/>
          <w:numId w:val="1004"/>
        </w:numPr>
      </w:pPr>
      <w:r>
        <w:t>adapters depend on framework libraries and implement ports;</w:t>
      </w:r>
    </w:p>
    <w:p>
      <w:pPr>
        <w:pStyle w:val="Compact"/>
        <w:widowControl/>
        <w:numPr>
          <w:ilvl w:val="0"/>
          <w:numId w:val="1004"/>
        </w:numPr>
      </w:pPr>
      <w:r>
        <w:t>feature modules depend on API modules;</w:t>
      </w:r>
    </w:p>
    <w:p>
      <w:pPr>
        <w:pStyle w:val="Compact"/>
        <w:widowControl/>
        <w:numPr>
          <w:ilvl w:val="0"/>
          <w:numId w:val="1004"/>
        </w:numPr>
      </w:pPr>
      <w:r>
        <w:t>implementation modules are assembled by the top-level application; and</w:t>
      </w:r>
    </w:p>
    <w:p>
      <w:pPr>
        <w:pStyle w:val="Compact"/>
        <w:widowControl/>
        <w:numPr>
          <w:ilvl w:val="0"/>
          <w:numId w:val="1004"/>
        </w:numPr>
      </w:pPr>
      <w:r>
        <w:t>shared modules contain cross-cutting behavior rather than feature-specific implementation.</w:t>
      </w:r>
    </w:p>
    <w:p>
      <w:pPr>
        <w:pStyle w:val="FirstParagraph"/>
        <w:widowControl/>
        <w:jc w:val="left"/>
      </w:pPr>
      <w:r>
        <w:t xml:space="preserve">A dependency cycle between feature modules usually indicates a missing contract, an incorrectly placed shared concept, or a workflow that belongs in an orchestrator.</w:t>
      </w:r>
    </w:p>
    <w:p>
      <w:bookmarkStart w:id="406" w:name="mv2_h_0035"/>
      <w:pPr>
        <w:pStyle w:val="Heading2"/>
        <w:keepNext/>
        <w:widowControl/>
      </w:pPr>
      <w:r>
        <w:t xml:space="preserve">4.4 Main Application Assembly</w:t>
      </w:r>
      <w:bookmarkEnd w:id="406"/>
    </w:p>
    <w:p>
      <w:pPr>
        <w:pStyle w:val="FirstParagraph"/>
        <w:widowControl/>
        <w:jc w:val="left"/>
      </w:pPr>
      <w:r>
        <w:t>Application depends on implementation modules and enables configuration properties, caching, scheduling, service discovery, OpenFeign, Actuator, Liquibase, database drivers, and Springdoc/OpenAPI. The component scan covers the com.warehouse.* namespace.</w:t>
      </w:r>
    </w:p>
    <w:p>
      <w:bookmarkStart w:id="407" w:name="mv2_h_0036"/>
      <w:pPr>
        <w:pStyle w:val="Heading2"/>
        <w:keepNext/>
        <w:widowControl/>
      </w:pPr>
      <w:r>
        <w:t xml:space="preserve">4.5 Orchestration Versus Domain Logic</w:t>
      </w:r>
      <w:bookmarkEnd w:id="407"/>
    </w:p>
    <w:p>
      <w:pPr>
        <w:pStyle w:val="FirstParagraph"/>
        <w:widowControl/>
        <w:jc w:val="left"/>
      </w:pPr>
      <w:r>
        <w:t>LogisticsOrchestrator, ProcessHub, and CrossLogistics represent explicit coordination layers across bounded contexts. Domain modules retain the business state and invariants associated with shipments, deliveries, devices, and related capabilities.</w:t>
      </w:r>
    </w:p>
    <w:p>
      <w:bookmarkStart w:id="408" w:name="mv2_h_0037"/>
      <w:pPr>
        <w:pStyle w:val="Heading2"/>
        <w:keepNext/>
        <w:widowControl/>
      </w:pPr>
      <w:r>
        <w:t xml:space="preserve">4.6 Synchronous and Asynchronous Boundaries</w:t>
      </w:r>
      <w:bookmarkEnd w:id="408"/>
    </w:p>
    <w:p>
      <w:pPr>
        <w:pStyle w:val="FirstParagraph"/>
        <w:widowControl/>
        <w:jc w:val="left"/>
      </w:pPr>
      <w:r>
        <w:t xml:space="preserve">In-process calls are appropriate when the caller needs an immediate, strongly consistent result within the same transaction or request. Kafka events are appropriate when propagation can be asynchronous, when multiple consumers require the information, or when the receiving model is a projection. HTTP calls to supporting services introduce network latency and partial failure and therefore require explicit timeout and retry policy.</w:t>
      </w:r>
    </w:p>
    <w:p>
      <w:bookmarkStart w:id="409" w:name="mv2_h_0038"/>
      <w:pPr>
        <w:pStyle w:val="Heading2"/>
        <w:keepNext/>
        <w:widowControl/>
      </w:pPr>
      <w:r>
        <w:t xml:space="preserve">4.7 Transaction Boundaries</w:t>
      </w:r>
      <w:bookmarkEnd w:id="409"/>
    </w:p>
    <w:p>
      <w:pPr>
        <w:pStyle w:val="FirstParagraph"/>
        <w:widowControl/>
        <w:jc w:val="left"/>
      </w:pPr>
      <w:r>
        <w:t>The architecture separates module-owned database transactions from cross-module workflows. Cross-module coordination is represented through orchestrator modules and asynchronous messaging.</w:t>
      </w:r>
    </w:p>
    <w:p>
      <w:bookmarkStart w:id="411" w:name="mv2_h_0040"/>
      <w:pPr>
        <w:pStyle w:val="Heading1"/>
        <w:keepNext/>
        <w:widowControl/>
      </w:pPr>
      <w:r>
        <w:t xml:space="preserve">5. Runtime Topology and Infrastructure</w:t>
      </w:r>
      <w:bookmarkEnd w:id="411"/>
    </w:p>
    <w:p>
      <w:bookmarkStart w:id="412" w:name="mv2_h_0041"/>
      <w:pPr>
        <w:pStyle w:val="Heading2"/>
        <w:keepNext/>
        <w:widowControl/>
      </w:pPr>
      <w:r>
        <w:t xml:space="preserve">5.1 Logical Topology</w:t>
      </w:r>
      <w:bookmarkEnd w:id="412"/>
    </w:p>
    <w:p>
      <w:pPr>
        <w:pStyle w:val="CaptionedFigure"/>
        <w:keepNext/>
        <w:widowControl/>
        <w:jc w:val="center"/>
      </w:pPr>
      <w:r>
        <w:drawing>
          <wp:inline>
            <wp:extent cx="5334000" cy="3882794"/>
            <wp:effectExtent b="0" l="0" r="0" t="0"/>
            <wp:docPr descr="ManagerV2 runtime topology" title="" id="63" name="Picture"/>
            <a:graphic>
              <a:graphicData uri="http://schemas.openxmlformats.org/drawingml/2006/picture">
                <pic:pic>
                  <pic:nvPicPr>
                    <pic:cNvPr descr="assets/runtime_topology.png" id="64" name="Picture"/>
                    <pic:cNvPicPr>
                      <a:picLocks noChangeArrowheads="1" noChangeAspect="1"/>
                    </pic:cNvPicPr>
                  </pic:nvPicPr>
                  <pic:blipFill>
                    <a:blip r:embed="rId62"/>
                    <a:stretch>
                      <a:fillRect/>
                    </a:stretch>
                  </pic:blipFill>
                  <pic:spPr bwMode="auto">
                    <a:xfrm>
                      <a:off x="0" y="0"/>
                      <a:ext cx="5334000" cy="3882794"/>
                    </a:xfrm>
                    <a:prstGeom prst="rect">
                      <a:avLst/>
                    </a:prstGeom>
                    <a:noFill/>
                    <a:ln w="9525">
                      <a:noFill/>
                      <a:headEnd/>
                      <a:tailEnd/>
                    </a:ln>
                  </pic:spPr>
                </pic:pic>
              </a:graphicData>
            </a:graphic>
          </wp:inline>
        </w:drawing>
      </w:r>
    </w:p>
    <w:p>
      <w:pPr>
        <w:pStyle w:val="ImageCaption"/>
        <w:widowControl/>
        <w:jc w:val="center"/>
      </w:pPr>
      <w:r>
        <w:rPr>
          <w:rFonts w:ascii="Carlito" w:hAnsi="Carlito" w:eastAsia="Carlito"/>
          <w:i/>
          <w:color w:val="44515C"/>
          <w:sz w:val="17"/>
        </w:rPr>
        <w:t>Figure 2. ManagerV2 runtime topology</w:t>
      </w:r>
    </w:p>
    <w:p>
      <w:pPr>
        <w:pStyle w:val="BodyText"/>
        <w:widowControl/>
        <w:jc w:val="left"/>
      </w:pPr>
      <w:r>
        <w:t xml:space="preserve">The topology shown above combines the primary runtime paths found in the repository. It is a logical view rather than a production deployment guarantee. The main application is the central business runtime; the gateway routes selected request paths to it and to supporting services; Eureka provides service registration and discovery; MySQL and MongoDB provide persistence; Kafka propagates events; and external providers supply mail, geocoding, parcel, or related capabilities.</w:t>
      </w:r>
    </w:p>
    <w:p>
      <w:bookmarkStart w:id="413" w:name="mv2_h_0042"/>
      <w:pPr>
        <w:pStyle w:val="Heading2"/>
        <w:keepNext/>
        <w:widowControl/>
      </w:pPr>
      <w:r>
        <w:t xml:space="preserve">5.2 Main Application</w:t>
      </w:r>
      <w:bookmarkEnd w:id="413"/>
    </w:p>
    <w:p>
      <w:pPr>
        <w:pStyle w:val="FirstParagraph"/>
        <w:widowControl/>
        <w:jc w:val="left"/>
      </w:pPr>
      <w:r>
        <w:t>The main service uses port 8080 and the servlet context path /v2/api in the reviewed configuration. A resource mapped as /auth/login at controller level is therefore normally reached as /v2/api/auth/login.</w:t>
      </w:r>
    </w:p>
    <w:p>
      <w:pPr>
        <w:pStyle w:val="BodyText"/>
        <w:widowControl/>
        <w:jc w:val="left"/>
      </w:pPr>
      <w:r>
        <w:t xml:space="preserve">The application enables:</w:t>
      </w:r>
    </w:p>
    <w:p>
      <w:pPr>
        <w:pStyle w:val="Compact"/>
        <w:widowControl/>
        <w:numPr>
          <w:ilvl w:val="0"/>
          <w:numId w:val="1006"/>
        </w:numPr>
      </w:pPr>
      <w:r>
        <w:t xml:space="preserve">scheduled jobs;</w:t>
      </w:r>
    </w:p>
    <w:p>
      <w:pPr>
        <w:pStyle w:val="Compact"/>
        <w:widowControl/>
        <w:numPr>
          <w:ilvl w:val="0"/>
          <w:numId w:val="1006"/>
        </w:numPr>
      </w:pPr>
      <w:r>
        <w:t xml:space="preserve">caching;</w:t>
      </w:r>
    </w:p>
    <w:p>
      <w:pPr>
        <w:pStyle w:val="Compact"/>
        <w:widowControl/>
        <w:numPr>
          <w:ilvl w:val="0"/>
          <w:numId w:val="1006"/>
        </w:numPr>
      </w:pPr>
      <w:r>
        <w:t xml:space="preserve">Feign clients;</w:t>
      </w:r>
    </w:p>
    <w:p>
      <w:pPr>
        <w:pStyle w:val="Compact"/>
        <w:widowControl/>
        <w:numPr>
          <w:ilvl w:val="0"/>
          <w:numId w:val="1006"/>
        </w:numPr>
      </w:pPr>
      <w:r>
        <w:t xml:space="preserve">Eureka discovery;</w:t>
      </w:r>
    </w:p>
    <w:p>
      <w:pPr>
        <w:pStyle w:val="Compact"/>
        <w:widowControl/>
        <w:numPr>
          <w:ilvl w:val="0"/>
          <w:numId w:val="1006"/>
        </w:numPr>
      </w:pPr>
      <w:r>
        <w:t xml:space="preserve">configuration-property binding;</w:t>
      </w:r>
    </w:p>
    <w:p>
      <w:pPr>
        <w:pStyle w:val="Compact"/>
        <w:widowControl/>
        <w:numPr>
          <w:ilvl w:val="0"/>
          <w:numId w:val="1006"/>
        </w:numPr>
      </w:pPr>
      <w:r>
        <w:t xml:space="preserve">Actuator endpoints; and</w:t>
      </w:r>
    </w:p>
    <w:p>
      <w:pPr>
        <w:pStyle w:val="Compact"/>
        <w:widowControl/>
        <w:numPr>
          <w:ilvl w:val="0"/>
          <w:numId w:val="1006"/>
        </w:numPr>
      </w:pPr>
      <w:r>
        <w:t xml:space="preserve">OpenAPI/Swagger support.</w:t>
      </w:r>
    </w:p>
    <w:p>
      <w:bookmarkStart w:id="414" w:name="mv2_h_0043"/>
      <w:pPr>
        <w:pStyle w:val="Heading2"/>
        <w:keepNext/>
        <w:widowControl/>
      </w:pPr>
      <w:r>
        <w:t xml:space="preserve">5.3 Gateway</w:t>
      </w:r>
      <w:bookmarkEnd w:id="414"/>
    </w:p>
    <w:p>
      <w:pPr>
        <w:pStyle w:val="FirstParagraph"/>
        <w:widowControl/>
        <w:jc w:val="left"/>
      </w:pPr>
      <w:r>
        <w:t>The custom Gateway defaults to port 8088. Its configuration routes traffic to the main application and to service-specific targets, including software configuration, delivery protection, return tracking, route tracking, and pallet handling.</w:t>
      </w:r>
    </w:p>
    <w:p>
      <w:bookmarkStart w:id="415" w:name="mv2_h_0044"/>
      <w:pPr>
        <w:pStyle w:val="Heading2"/>
        <w:keepNext/>
        <w:widowControl/>
      </w:pPr>
      <w:r>
        <w:t xml:space="preserve">5.4 Eureka Server</w:t>
      </w:r>
      <w:bookmarkEnd w:id="415"/>
    </w:p>
    <w:p>
      <w:pPr>
        <w:pStyle w:val="FirstParagraph"/>
        <w:widowControl/>
        <w:jc w:val="left"/>
      </w:pPr>
      <w:r>
        <w:t>The Eureka server uses port 8761. The reviewed configuration disables self-registration and registry fetching for the server itself, and self-preservation is disabled by default.</w:t>
      </w:r>
    </w:p>
    <w:p>
      <w:bookmarkStart w:id="416" w:name="mv2_h_0045"/>
      <w:pPr>
        <w:pStyle w:val="Heading2"/>
        <w:keepNext/>
        <w:widowControl/>
        <w:spacing w:after="100"/>
      </w:pPr>
      <w:r>
        <w:t xml:space="preserve">5.5 Supporting Services and Default Ports</w:t>
      </w:r>
      <w:bookmarkEnd w:id="416"/>
    </w:p>
    <w:tbl>
      <w:tblPr>
        <w:tblStyle w:val="Table"/>
        <w:tblW w:type="pct" w:w="5000"/>
        <w:jc w:val="center"/>
        <w:tblLayout w:type="fixed"/>
        <w:tblLook w:firstRow="1" w:lastRow="0" w:firstColumn="0" w:lastColumn="0" w:noHBand="0" w:noVBand="0" w:val="0020"/>
        <w:tblBorders>
          <w:top w:val="single" w:sz="4" w:space="0" w:color="D7E0E6"/>
          <w:left w:val="single" w:sz="4" w:space="0" w:color="D7E0E6"/>
          <w:bottom w:val="single" w:sz="4" w:space="0" w:color="D7E0E6"/>
          <w:right w:val="single" w:sz="4" w:space="0" w:color="D7E0E6"/>
          <w:insideH w:val="single" w:sz="4" w:space="0" w:color="D7E0E6"/>
          <w:insideV w:val="single" w:sz="4" w:space="0" w:color="D7E0E6"/>
        </w:tblBorders>
      </w:tblPr>
      <w:tblGrid>
        <w:gridCol w:w="2376"/>
        <w:gridCol w:w="3168"/>
        <w:gridCol w:w="2376"/>
      </w:tblGrid>
      <w:tr>
        <w:trPr>
          <w:tblHeader w:val="true"/>
          <w:cantSplit/>
        </w:trPr>
        <w:tc>
          <w:tcPr>
            <w:tcW w:type="dxa" w:w="2015"/>
            <w:tcMar>
              <w:top w:w="85" w:type="dxa"/>
              <w:start w:w="100" w:type="dxa"/>
              <w:bottom w:w="85" w:type="dxa"/>
              <w:end w:w="100" w:type="dxa"/>
            </w:tcMar>
            <w:vAlign w:val="center"/>
            <w:shd w:fill="17324D" w:val="clear"/>
          </w:tcPr>
          <w:p>
            <w:pPr>
              <w:pStyle w:val="Compact"/>
              <w:widowControl/>
              <w:spacing w:before="0" w:after="30" w:line="240" w:lineRule="auto"/>
              <w:jc w:val="left"/>
            </w:pPr>
            <w:r>
              <w:rPr>
                <w:rFonts w:ascii="Noto Sans" w:hAnsi="Noto Sans" w:eastAsia="Noto Sans"/>
                <w:b/>
                <w:color w:val="FFFFFF"/>
                <w:sz w:val="17"/>
              </w:rPr>
              <w:t xml:space="preserve">Runtime</w:t>
            </w:r>
          </w:p>
        </w:tc>
        <w:tc>
          <w:tcPr>
            <w:tcW w:type="dxa" w:w="3311"/>
            <w:tcMar>
              <w:top w:w="85" w:type="dxa"/>
              <w:start w:w="100" w:type="dxa"/>
              <w:bottom w:w="85" w:type="dxa"/>
              <w:end w:w="100" w:type="dxa"/>
            </w:tcMar>
            <w:vAlign w:val="center"/>
            <w:shd w:fill="17324D" w:val="clear"/>
          </w:tcPr>
          <w:p>
            <w:pPr>
              <w:pStyle w:val="Compact"/>
              <w:widowControl/>
              <w:spacing w:before="0" w:after="30" w:line="240" w:lineRule="auto"/>
              <w:jc w:val="right"/>
            </w:pPr>
            <w:r>
              <w:rPr>
                <w:rFonts w:ascii="Noto Sans" w:hAnsi="Noto Sans" w:eastAsia="Noto Sans"/>
                <w:b/>
                <w:color w:val="FFFFFF"/>
                <w:sz w:val="17"/>
              </w:rPr>
              <w:t xml:space="preserve">Default port</w:t>
            </w:r>
          </w:p>
        </w:tc>
        <w:tc>
          <w:tcPr>
            <w:tcW w:type="dxa" w:w="4392"/>
            <w:tcMar>
              <w:top w:w="85" w:type="dxa"/>
              <w:start w:w="100" w:type="dxa"/>
              <w:bottom w:w="85" w:type="dxa"/>
              <w:end w:w="100" w:type="dxa"/>
            </w:tcMar>
            <w:vAlign w:val="center"/>
            <w:shd w:fill="17324D" w:val="clear"/>
          </w:tcPr>
          <w:p>
            <w:pPr>
              <w:pStyle w:val="Compact"/>
              <w:widowControl/>
              <w:spacing w:before="0" w:after="30" w:line="240" w:lineRule="auto"/>
              <w:jc w:val="left"/>
            </w:pPr>
            <w:r>
              <w:rPr>
                <w:rFonts w:ascii="Noto Sans" w:hAnsi="Noto Sans" w:eastAsia="Noto Sans"/>
                <w:b/>
                <w:color w:val="FFFFFF"/>
                <w:sz w:val="17"/>
              </w:rPr>
              <w:t xml:space="preserve">Typical role</w:t>
            </w:r>
          </w:p>
        </w:tc>
      </w:tr>
      <w:tr>
        <w:trPr>
          <w:cantSplit/>
        </w:trPr>
        <w:tc>
          <w:tcPr>
            <w:tcW w:type="dxa" w:w="2015"/>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Main application</w:t>
            </w:r>
          </w:p>
        </w:tc>
        <w:tc>
          <w:tcPr>
            <w:tcW w:type="dxa" w:w="3311"/>
            <w:tcMar>
              <w:top w:w="85" w:type="dxa"/>
              <w:start w:w="100" w:type="dxa"/>
              <w:bottom w:w="85" w:type="dxa"/>
              <w:end w:w="100" w:type="dxa"/>
            </w:tcMar>
            <w:vAlign w:val="center"/>
            <w:shd w:fill="FFFFFF" w:val="clear"/>
          </w:tcPr>
          <w:p>
            <w:pPr>
              <w:pStyle w:val="Compact"/>
              <w:widowControl/>
              <w:spacing w:before="0" w:after="30" w:line="240" w:lineRule="auto"/>
              <w:jc w:val="right"/>
            </w:pPr>
            <w:r>
              <w:rPr>
                <w:rFonts w:ascii="Carlito" w:hAnsi="Carlito" w:eastAsia="Carlito"/>
                <w:color w:val="44515C"/>
                <w:sz w:val="17"/>
              </w:rPr>
              <w:t xml:space="preserve">8080</w:t>
            </w:r>
          </w:p>
        </w:tc>
        <w:tc>
          <w:tcPr>
            <w:tcW w:type="dxa" w:w="4392"/>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Core modular-monolith API under</w:t>
            </w:r>
            <w:r>
              <w:rPr>
                <w:rFonts w:ascii="Carlito" w:hAnsi="Carlito" w:eastAsia="Carlito"/>
                <w:color w:val="44515C"/>
                <w:sz w:val="17"/>
              </w:rPr>
              <w:t xml:space="preserve"> </w:t>
            </w:r>
            <w:r>
              <w:rPr>
                <w:rStyle w:val="VerbatimChar"/>
                <w:rFonts w:ascii="Carlito" w:hAnsi="Carlito" w:eastAsia="Carlito"/>
                <w:color w:val="44515C"/>
                <w:sz w:val="17"/>
              </w:rPr>
              <w:t xml:space="preserve">/v2/api</w:t>
            </w:r>
            <w:r>
              <w:rPr>
                <w:rFonts w:ascii="Carlito" w:hAnsi="Carlito" w:eastAsia="Carlito"/>
                <w:color w:val="44515C"/>
                <w:sz w:val="17"/>
              </w:rPr>
              <w:t xml:space="preserve">.</w:t>
            </w:r>
          </w:p>
        </w:tc>
      </w:tr>
      <w:tr>
        <w:trPr>
          <w:cantSplit/>
        </w:trPr>
        <w:tc>
          <w:tcPr>
            <w:tcW w:type="dxa" w:w="2015"/>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Gateway</w:t>
            </w:r>
          </w:p>
        </w:tc>
        <w:tc>
          <w:tcPr>
            <w:tcW w:type="dxa" w:w="3311"/>
            <w:tcMar>
              <w:top w:w="85" w:type="dxa"/>
              <w:start w:w="100" w:type="dxa"/>
              <w:bottom w:w="85" w:type="dxa"/>
              <w:end w:w="100" w:type="dxa"/>
            </w:tcMar>
            <w:vAlign w:val="center"/>
            <w:shd w:fill="FFFFFF" w:val="clear"/>
          </w:tcPr>
          <w:p>
            <w:pPr>
              <w:pStyle w:val="Compact"/>
              <w:widowControl/>
              <w:spacing w:before="0" w:after="30" w:line="240" w:lineRule="auto"/>
              <w:jc w:val="right"/>
            </w:pPr>
            <w:r>
              <w:rPr>
                <w:rFonts w:ascii="Carlito" w:hAnsi="Carlito" w:eastAsia="Carlito"/>
                <w:color w:val="44515C"/>
                <w:sz w:val="17"/>
              </w:rPr>
              <w:t xml:space="preserve">8088</w:t>
            </w:r>
          </w:p>
        </w:tc>
        <w:tc>
          <w:tcPr>
            <w:tcW w:type="dxa" w:w="4392"/>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Front-door routing to application and services.</w:t>
            </w:r>
          </w:p>
        </w:tc>
      </w:tr>
      <w:tr>
        <w:trPr>
          <w:cantSplit/>
        </w:trPr>
        <w:tc>
          <w:tcPr>
            <w:tcW w:type="dxa" w:w="2015"/>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Eureka Server</w:t>
            </w:r>
          </w:p>
        </w:tc>
        <w:tc>
          <w:tcPr>
            <w:tcW w:type="dxa" w:w="3311"/>
            <w:tcMar>
              <w:top w:w="85" w:type="dxa"/>
              <w:start w:w="100" w:type="dxa"/>
              <w:bottom w:w="85" w:type="dxa"/>
              <w:end w:w="100" w:type="dxa"/>
            </w:tcMar>
            <w:vAlign w:val="center"/>
            <w:shd w:fill="FFFFFF" w:val="clear"/>
          </w:tcPr>
          <w:p>
            <w:pPr>
              <w:pStyle w:val="Compact"/>
              <w:widowControl/>
              <w:spacing w:before="0" w:after="30" w:line="240" w:lineRule="auto"/>
              <w:jc w:val="right"/>
            </w:pPr>
            <w:r>
              <w:rPr>
                <w:rFonts w:ascii="Carlito" w:hAnsi="Carlito" w:eastAsia="Carlito"/>
                <w:color w:val="44515C"/>
                <w:sz w:val="17"/>
              </w:rPr>
              <w:t xml:space="preserve">8761</w:t>
            </w:r>
          </w:p>
        </w:tc>
        <w:tc>
          <w:tcPr>
            <w:tcW w:type="dxa" w:w="4392"/>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Service registry and discovery.</w:t>
            </w:r>
          </w:p>
        </w:tc>
      </w:tr>
      <w:tr>
        <w:trPr>
          <w:cantSplit/>
        </w:trPr>
        <w:tc>
          <w:tcPr>
            <w:tcW w:type="dxa" w:w="2015"/>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Software Configuration</w:t>
            </w:r>
          </w:p>
        </w:tc>
        <w:tc>
          <w:tcPr>
            <w:tcW w:type="dxa" w:w="3311"/>
            <w:tcMar>
              <w:top w:w="85" w:type="dxa"/>
              <w:start w:w="100" w:type="dxa"/>
              <w:bottom w:w="85" w:type="dxa"/>
              <w:end w:w="100" w:type="dxa"/>
            </w:tcMar>
            <w:vAlign w:val="center"/>
            <w:shd w:fill="FFFFFF" w:val="clear"/>
          </w:tcPr>
          <w:p>
            <w:pPr>
              <w:pStyle w:val="Compact"/>
              <w:widowControl/>
              <w:spacing w:before="0" w:after="30" w:line="240" w:lineRule="auto"/>
              <w:jc w:val="right"/>
            </w:pPr>
            <w:r>
              <w:rPr>
                <w:rFonts w:ascii="Carlito" w:hAnsi="Carlito" w:eastAsia="Carlito"/>
                <w:color w:val="44515C"/>
                <w:sz w:val="17"/>
              </w:rPr>
              <w:t xml:space="preserve">8081</w:t>
            </w:r>
          </w:p>
        </w:tc>
        <w:tc>
          <w:tcPr>
            <w:tcW w:type="dxa" w:w="4392"/>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Software or operator configuration service.</w:t>
            </w:r>
          </w:p>
        </w:tc>
      </w:tr>
      <w:tr>
        <w:trPr>
          <w:cantSplit/>
        </w:trPr>
        <w:tc>
          <w:tcPr>
            <w:tcW w:type="dxa" w:w="2015"/>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Route Tracker Flow</w:t>
            </w:r>
          </w:p>
        </w:tc>
        <w:tc>
          <w:tcPr>
            <w:tcW w:type="dxa" w:w="3311"/>
            <w:tcMar>
              <w:top w:w="85" w:type="dxa"/>
              <w:start w:w="100" w:type="dxa"/>
              <w:bottom w:w="85" w:type="dxa"/>
              <w:end w:w="100" w:type="dxa"/>
            </w:tcMar>
            <w:vAlign w:val="center"/>
            <w:shd w:fill="FFFFFF" w:val="clear"/>
          </w:tcPr>
          <w:p>
            <w:pPr>
              <w:pStyle w:val="Compact"/>
              <w:widowControl/>
              <w:spacing w:before="0" w:after="30" w:line="240" w:lineRule="auto"/>
              <w:jc w:val="right"/>
            </w:pPr>
            <w:r>
              <w:rPr>
                <w:rFonts w:ascii="Carlito" w:hAnsi="Carlito" w:eastAsia="Carlito"/>
                <w:color w:val="44515C"/>
                <w:sz w:val="17"/>
              </w:rPr>
              <w:t xml:space="preserve">8082</w:t>
            </w:r>
          </w:p>
        </w:tc>
        <w:tc>
          <w:tcPr>
            <w:tcW w:type="dxa" w:w="4392"/>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Route tracking, history, and event processing.</w:t>
            </w:r>
          </w:p>
        </w:tc>
      </w:tr>
      <w:tr>
        <w:trPr>
          <w:cantSplit/>
        </w:trPr>
        <w:tc>
          <w:tcPr>
            <w:tcW w:type="dxa" w:w="2015"/>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Returning Track Manager</w:t>
            </w:r>
          </w:p>
        </w:tc>
        <w:tc>
          <w:tcPr>
            <w:tcW w:type="dxa" w:w="3311"/>
            <w:tcMar>
              <w:top w:w="85" w:type="dxa"/>
              <w:start w:w="100" w:type="dxa"/>
              <w:bottom w:w="85" w:type="dxa"/>
              <w:end w:w="100" w:type="dxa"/>
            </w:tcMar>
            <w:vAlign w:val="center"/>
            <w:shd w:fill="FFFFFF" w:val="clear"/>
          </w:tcPr>
          <w:p>
            <w:pPr>
              <w:pStyle w:val="Compact"/>
              <w:widowControl/>
              <w:spacing w:before="0" w:after="30" w:line="240" w:lineRule="auto"/>
              <w:jc w:val="right"/>
            </w:pPr>
            <w:r>
              <w:rPr>
                <w:rFonts w:ascii="Carlito" w:hAnsi="Carlito" w:eastAsia="Carlito"/>
                <w:color w:val="44515C"/>
                <w:sz w:val="17"/>
              </w:rPr>
              <w:t xml:space="preserve">8070</w:t>
            </w:r>
          </w:p>
        </w:tc>
        <w:tc>
          <w:tcPr>
            <w:tcW w:type="dxa" w:w="4392"/>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Return-flow management.</w:t>
            </w:r>
          </w:p>
        </w:tc>
      </w:tr>
      <w:tr>
        <w:trPr>
          <w:cantSplit/>
        </w:trPr>
        <w:tc>
          <w:tcPr>
            <w:tcW w:type="dxa" w:w="2015"/>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Pallet Handling Manager</w:t>
            </w:r>
          </w:p>
        </w:tc>
        <w:tc>
          <w:tcPr>
            <w:tcW w:type="dxa" w:w="3311"/>
            <w:tcMar>
              <w:top w:w="85" w:type="dxa"/>
              <w:start w:w="100" w:type="dxa"/>
              <w:bottom w:w="85" w:type="dxa"/>
              <w:end w:w="100" w:type="dxa"/>
            </w:tcMar>
            <w:vAlign w:val="center"/>
            <w:shd w:fill="FFFFFF" w:val="clear"/>
          </w:tcPr>
          <w:p>
            <w:pPr>
              <w:pStyle w:val="Compact"/>
              <w:widowControl/>
              <w:spacing w:before="0" w:after="30" w:line="240" w:lineRule="auto"/>
              <w:jc w:val="right"/>
            </w:pPr>
            <w:r>
              <w:rPr>
                <w:rFonts w:ascii="Carlito" w:hAnsi="Carlito" w:eastAsia="Carlito"/>
                <w:color w:val="44515C"/>
                <w:sz w:val="17"/>
              </w:rPr>
              <w:t xml:space="preserve">8071</w:t>
            </w:r>
          </w:p>
        </w:tc>
        <w:tc>
          <w:tcPr>
            <w:tcW w:type="dxa" w:w="4392"/>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Pallet-related operations.</w:t>
            </w:r>
          </w:p>
        </w:tc>
      </w:tr>
      <w:tr>
        <w:trPr>
          <w:cantSplit/>
        </w:trPr>
        <w:tc>
          <w:tcPr>
            <w:tcW w:type="dxa" w:w="2015"/>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Delivery Protection</w:t>
            </w:r>
          </w:p>
        </w:tc>
        <w:tc>
          <w:tcPr>
            <w:tcW w:type="dxa" w:w="3311"/>
            <w:tcMar>
              <w:top w:w="85" w:type="dxa"/>
              <w:start w:w="100" w:type="dxa"/>
              <w:bottom w:w="85" w:type="dxa"/>
              <w:end w:w="100" w:type="dxa"/>
            </w:tcMar>
            <w:vAlign w:val="center"/>
            <w:shd w:fill="FFFFFF" w:val="clear"/>
          </w:tcPr>
          <w:p>
            <w:pPr>
              <w:pStyle w:val="Compact"/>
              <w:widowControl/>
              <w:spacing w:before="0" w:after="30" w:line="240" w:lineRule="auto"/>
              <w:jc w:val="right"/>
            </w:pPr>
            <w:r>
              <w:rPr>
                <w:rFonts w:ascii="Carlito" w:hAnsi="Carlito" w:eastAsia="Carlito"/>
                <w:color w:val="44515C"/>
                <w:sz w:val="17"/>
              </w:rPr>
              <w:t xml:space="preserve">8060</w:t>
            </w:r>
          </w:p>
        </w:tc>
        <w:tc>
          <w:tcPr>
            <w:tcW w:type="dxa" w:w="4392"/>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Delivery-protection capability.</w:t>
            </w:r>
          </w:p>
        </w:tc>
      </w:tr>
      <w:tr>
        <w:trPr>
          <w:cantSplit/>
        </w:trPr>
        <w:tc>
          <w:tcPr>
            <w:tcW w:type="dxa" w:w="2015"/>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Kafka UI</w:t>
            </w:r>
          </w:p>
        </w:tc>
        <w:tc>
          <w:tcPr>
            <w:tcW w:type="dxa" w:w="3311"/>
            <w:tcMar>
              <w:top w:w="85" w:type="dxa"/>
              <w:start w:w="100" w:type="dxa"/>
              <w:bottom w:w="85" w:type="dxa"/>
              <w:end w:w="100" w:type="dxa"/>
            </w:tcMar>
            <w:vAlign w:val="center"/>
            <w:shd w:fill="FFFFFF" w:val="clear"/>
          </w:tcPr>
          <w:p>
            <w:pPr>
              <w:pStyle w:val="Compact"/>
              <w:widowControl/>
              <w:spacing w:before="0" w:after="30" w:line="240" w:lineRule="auto"/>
              <w:jc w:val="right"/>
            </w:pPr>
            <w:r>
              <w:rPr>
                <w:rFonts w:ascii="Carlito" w:hAnsi="Carlito" w:eastAsia="Carlito"/>
                <w:color w:val="44515C"/>
                <w:sz w:val="17"/>
              </w:rPr>
              <w:t xml:space="preserve">8090</w:t>
            </w:r>
          </w:p>
        </w:tc>
        <w:tc>
          <w:tcPr>
            <w:tcW w:type="dxa" w:w="4392"/>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Local inspection of Kafka clusters and topics.</w:t>
            </w:r>
          </w:p>
        </w:tc>
      </w:tr>
      <w:tr>
        <w:trPr>
          <w:cantSplit/>
        </w:trPr>
        <w:tc>
          <w:tcPr>
            <w:tcW w:type="dxa" w:w="2015"/>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MySQL</w:t>
            </w:r>
          </w:p>
        </w:tc>
        <w:tc>
          <w:tcPr>
            <w:tcW w:type="dxa" w:w="3311"/>
            <w:tcMar>
              <w:top w:w="85" w:type="dxa"/>
              <w:start w:w="100" w:type="dxa"/>
              <w:bottom w:w="85" w:type="dxa"/>
              <w:end w:w="100" w:type="dxa"/>
            </w:tcMar>
            <w:vAlign w:val="center"/>
            <w:shd w:fill="FFFFFF" w:val="clear"/>
          </w:tcPr>
          <w:p>
            <w:pPr>
              <w:pStyle w:val="Compact"/>
              <w:widowControl/>
              <w:spacing w:before="0" w:after="30" w:line="240" w:lineRule="auto"/>
              <w:jc w:val="right"/>
            </w:pPr>
            <w:r>
              <w:rPr>
                <w:rFonts w:ascii="Carlito" w:hAnsi="Carlito" w:eastAsia="Carlito"/>
                <w:color w:val="44515C"/>
                <w:sz w:val="17"/>
              </w:rPr>
              <w:t xml:space="preserve">3306</w:t>
            </w:r>
          </w:p>
        </w:tc>
        <w:tc>
          <w:tcPr>
            <w:tcW w:type="dxa" w:w="4392"/>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Relational persistence.</w:t>
            </w:r>
          </w:p>
        </w:tc>
      </w:tr>
      <w:tr>
        <w:trPr>
          <w:cantSplit/>
        </w:trPr>
        <w:tc>
          <w:tcPr>
            <w:tcW w:type="dxa" w:w="2015"/>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MongoDB</w:t>
            </w:r>
          </w:p>
        </w:tc>
        <w:tc>
          <w:tcPr>
            <w:tcW w:type="dxa" w:w="3311"/>
            <w:tcMar>
              <w:top w:w="85" w:type="dxa"/>
              <w:start w:w="100" w:type="dxa"/>
              <w:bottom w:w="85" w:type="dxa"/>
              <w:end w:w="100" w:type="dxa"/>
            </w:tcMar>
            <w:vAlign w:val="center"/>
            <w:shd w:fill="FFFFFF" w:val="clear"/>
          </w:tcPr>
          <w:p>
            <w:pPr>
              <w:pStyle w:val="Compact"/>
              <w:widowControl/>
              <w:spacing w:before="0" w:after="30" w:line="240" w:lineRule="auto"/>
              <w:jc w:val="right"/>
            </w:pPr>
            <w:r>
              <w:rPr>
                <w:rFonts w:ascii="Carlito" w:hAnsi="Carlito" w:eastAsia="Carlito"/>
                <w:color w:val="44515C"/>
                <w:sz w:val="17"/>
              </w:rPr>
              <w:t xml:space="preserve">27017</w:t>
            </w:r>
          </w:p>
        </w:tc>
        <w:tc>
          <w:tcPr>
            <w:tcW w:type="dxa" w:w="4392"/>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Service-specific document persistence.</w:t>
            </w:r>
          </w:p>
        </w:tc>
      </w:tr>
      <w:tr>
        <w:trPr>
          <w:cantSplit/>
        </w:trPr>
        <w:tc>
          <w:tcPr>
            <w:tcW w:type="dxa" w:w="2015"/>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Kafka</w:t>
            </w:r>
          </w:p>
        </w:tc>
        <w:tc>
          <w:tcPr>
            <w:tcW w:type="dxa" w:w="3311"/>
            <w:tcMar>
              <w:top w:w="85" w:type="dxa"/>
              <w:start w:w="100" w:type="dxa"/>
              <w:bottom w:w="85" w:type="dxa"/>
              <w:end w:w="100" w:type="dxa"/>
            </w:tcMar>
            <w:vAlign w:val="center"/>
            <w:shd w:fill="FFFFFF" w:val="clear"/>
          </w:tcPr>
          <w:p>
            <w:pPr>
              <w:pStyle w:val="Compact"/>
              <w:widowControl/>
              <w:spacing w:before="0" w:after="30" w:line="240" w:lineRule="auto"/>
              <w:jc w:val="right"/>
            </w:pPr>
            <w:r>
              <w:rPr>
                <w:rFonts w:ascii="Carlito" w:hAnsi="Carlito" w:eastAsia="Carlito"/>
                <w:color w:val="44515C"/>
                <w:sz w:val="17"/>
              </w:rPr>
              <w:t xml:space="preserve">9092</w:t>
            </w:r>
          </w:p>
        </w:tc>
        <w:tc>
          <w:tcPr>
            <w:tcW w:type="dxa" w:w="4392"/>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Event broker.</w:t>
            </w:r>
          </w:p>
        </w:tc>
      </w:tr>
    </w:tbl>
    <w:p>
      <w:pPr>
        <w:pStyle w:val="BodyText"/>
        <w:widowControl/>
        <w:jc w:val="left"/>
        <w:spacing w:before="90"/>
      </w:pPr>
      <w:r>
        <w:t>Port values are defaults from repository configuration and Compose assets.</w:t>
      </w:r>
    </w:p>
    <w:p>
      <w:bookmarkStart w:id="417" w:name="mv2_h_0046"/>
      <w:pPr>
        <w:pStyle w:val="Heading2"/>
        <w:keepNext/>
        <w:widowControl/>
      </w:pPr>
      <w:r>
        <w:t xml:space="preserve">5.6 Datastores</w:t>
      </w:r>
      <w:bookmarkEnd w:id="417"/>
    </w:p>
    <w:p>
      <w:pPr>
        <w:pStyle w:val="FirstParagraph"/>
        <w:widowControl/>
        <w:jc w:val="left"/>
      </w:pPr>
      <w:r>
        <w:t>The primary application uses MySQL in the development profile and manages its schema with Liquibase. H2 and PostgreSQL dependencies support selected test or alternate use cases. Some standalone services use separate relational schemas, while route-tracking components may use MongoDB.</w:t>
      </w:r>
    </w:p>
    <w:p>
      <w:bookmarkStart w:id="418" w:name="mv2_h_0047"/>
      <w:pPr>
        <w:pStyle w:val="Heading2"/>
        <w:keepNext/>
        <w:widowControl/>
      </w:pPr>
      <w:r>
        <w:t xml:space="preserve">5.7 Kafka and ZooKeeper</w:t>
      </w:r>
      <w:bookmarkEnd w:id="418"/>
    </w:p>
    <w:p>
      <w:pPr>
        <w:pStyle w:val="FirstParagraph"/>
        <w:widowControl/>
        <w:jc w:val="left"/>
      </w:pPr>
      <w:r>
        <w:t>The local Compose stack provisions ZooKeeper and Kafka using Confluent images and exposes Kafka on port 9092. The reviewed configuration references topics for shipment returns, shipment events, shipment read-model synchronization, and operator configuration creation.</w:t>
      </w:r>
    </w:p>
    <w:p>
      <w:bookmarkStart w:id="419" w:name="mv2_h_0048"/>
      <w:pPr>
        <w:pStyle w:val="Heading2"/>
        <w:keepNext/>
        <w:widowControl/>
      </w:pPr>
      <w:r>
        <w:t xml:space="preserve">5.8 External Services</w:t>
      </w:r>
      <w:bookmarkEnd w:id="419"/>
    </w:p>
    <w:p>
      <w:pPr>
        <w:pStyle w:val="FirstParagraph"/>
        <w:widowControl/>
        <w:jc w:val="left"/>
      </w:pPr>
      <w:r>
        <w:t>The repository contains integration points for SMTP/mail, geocoding providers, InPost, and internal service endpoints. The current release introduces per-operator encrypted geocoding credentials.</w:t>
      </w:r>
    </w:p>
    <w:p>
      <w:bookmarkStart w:id="421" w:name="mv2_h_0050"/>
      <w:pPr>
        <w:pStyle w:val="Heading1"/>
        <w:keepNext/>
        <w:widowControl/>
      </w:pPr>
      <w:r>
        <w:t xml:space="preserve">6. Main Application Bootstrap and Configuration</w:t>
      </w:r>
      <w:bookmarkEnd w:id="421"/>
    </w:p>
    <w:p>
      <w:bookmarkStart w:id="422" w:name="mv2_h_0051"/>
      <w:pPr>
        <w:pStyle w:val="Heading2"/>
        <w:keepNext/>
        <w:widowControl/>
      </w:pPr>
      <w:r>
        <w:t xml:space="preserve">6.1 Bootstrap Class</w:t>
      </w:r>
      <w:bookmarkEnd w:id="422"/>
    </w:p>
    <w:p>
      <w:pPr>
        <w:pStyle w:val="FirstParagraph"/>
        <w:widowControl/>
        <w:jc w:val="left"/>
      </w:pPr>
      <w:r>
        <w:t>The application bootstrap enables configuration properties, caching, scheduling, discovery, and Feign clients, and scans the com.warehouse.* namespace.</w:t>
      </w:r>
    </w:p>
    <w:p>
      <w:bookmarkStart w:id="423" w:name="mv2_h_0052"/>
      <w:pPr>
        <w:pStyle w:val="Heading2"/>
        <w:keepNext/>
        <w:widowControl/>
      </w:pPr>
      <w:r>
        <w:t xml:space="preserve">6.2 Application Identity and Web Context</w:t>
      </w:r>
      <w:bookmarkEnd w:id="423"/>
    </w:p>
    <w:p>
      <w:pPr>
        <w:pStyle w:val="FirstParagraph"/>
        <w:widowControl/>
        <w:jc w:val="left"/>
      </w:pPr>
      <w:r>
        <w:t>The application name is manager-application. The reviewed development configuration starts on port 8080 with the /v2/api context path.</w:t>
      </w:r>
    </w:p>
    <w:p>
      <w:bookmarkStart w:id="424" w:name="mv2_h_0053"/>
      <w:pPr>
        <w:pStyle w:val="Heading2"/>
        <w:keepNext/>
        <w:widowControl/>
      </w:pPr>
      <w:r>
        <w:t xml:space="preserve">6.3 Configuration Profiles</w:t>
      </w:r>
      <w:bookmarkEnd w:id="424"/>
    </w:p>
    <w:p>
      <w:pPr>
        <w:pStyle w:val="FirstParagraph"/>
        <w:widowControl/>
        <w:jc w:val="left"/>
      </w:pPr>
      <w:r>
        <w:t>The default application configuration includes a development profile and mail-related configuration.</w:t>
      </w:r>
    </w:p>
    <w:p>
      <w:bookmarkStart w:id="425" w:name="mv2_h_0054"/>
      <w:pPr>
        <w:pStyle w:val="Heading2"/>
        <w:keepNext/>
        <w:widowControl/>
        <w:spacing w:after="100"/>
      </w:pPr>
      <w:r>
        <w:t xml:space="preserve">6.4 Configuration Areas</w:t>
      </w:r>
      <w:bookmarkEnd w:id="425"/>
    </w:p>
    <w:tbl>
      <w:tblPr>
        <w:tblStyle w:val="Table"/>
        <w:tblW w:type="pct" w:w="5000"/>
        <w:jc w:val="center"/>
        <w:tblLayout w:type="fixed"/>
        <w:tblLook w:firstRow="1" w:lastRow="0" w:firstColumn="0" w:lastColumn="0" w:noHBand="0" w:noVBand="0" w:val="0020"/>
        <w:tblBorders>
          <w:top w:val="single" w:sz="4" w:space="0" w:color="D7E0E6"/>
          <w:left w:val="single" w:sz="4" w:space="0" w:color="D7E0E6"/>
          <w:bottom w:val="single" w:sz="4" w:space="0" w:color="D7E0E6"/>
          <w:right w:val="single" w:sz="4" w:space="0" w:color="D7E0E6"/>
          <w:insideH w:val="single" w:sz="4" w:space="0" w:color="D7E0E6"/>
          <w:insideV w:val="single" w:sz="4" w:space="0" w:color="D7E0E6"/>
        </w:tblBorders>
      </w:tblPr>
      <w:tblGrid>
        <w:gridCol w:w="3960"/>
        <w:gridCol w:w="3960"/>
      </w:tblGrid>
      <w:tr>
        <w:trPr>
          <w:tblHeader w:val="true"/>
          <w:cantSplit/>
        </w:trPr>
        <w:tc>
          <w:tcPr>
            <w:tcW w:type="dxa" w:w="2951"/>
            <w:tcMar>
              <w:top w:w="85" w:type="dxa"/>
              <w:start w:w="100" w:type="dxa"/>
              <w:bottom w:w="85" w:type="dxa"/>
              <w:end w:w="100" w:type="dxa"/>
            </w:tcMar>
            <w:vAlign w:val="center"/>
            <w:shd w:fill="17324D" w:val="clear"/>
          </w:tcPr>
          <w:p>
            <w:pPr>
              <w:pStyle w:val="Compact"/>
              <w:widowControl/>
              <w:spacing w:before="0" w:after="30" w:line="240" w:lineRule="auto"/>
              <w:jc w:val="left"/>
            </w:pPr>
            <w:r>
              <w:rPr>
                <w:rFonts w:ascii="Noto Sans" w:hAnsi="Noto Sans" w:eastAsia="Noto Sans"/>
                <w:b/>
                <w:color w:val="FFFFFF"/>
                <w:sz w:val="17"/>
              </w:rPr>
              <w:t xml:space="preserve">Area</w:t>
            </w:r>
          </w:p>
        </w:tc>
        <w:tc>
          <w:tcPr>
            <w:tcW w:type="dxa" w:w="6768"/>
            <w:tcMar>
              <w:top w:w="85" w:type="dxa"/>
              <w:start w:w="100" w:type="dxa"/>
              <w:bottom w:w="85" w:type="dxa"/>
              <w:end w:w="100" w:type="dxa"/>
            </w:tcMar>
            <w:vAlign w:val="center"/>
            <w:shd w:fill="17324D" w:val="clear"/>
          </w:tcPr>
          <w:p>
            <w:pPr>
              <w:pStyle w:val="Compact"/>
              <w:widowControl/>
              <w:spacing w:before="0" w:after="30" w:line="240" w:lineRule="auto"/>
              <w:jc w:val="left"/>
            </w:pPr>
            <w:r>
              <w:rPr>
                <w:rFonts w:ascii="Noto Sans" w:hAnsi="Noto Sans" w:eastAsia="Noto Sans"/>
                <w:b/>
                <w:color w:val="FFFFFF"/>
                <w:sz w:val="17"/>
              </w:rPr>
              <w:t xml:space="preserve">Representative settings</w:t>
            </w:r>
          </w:p>
        </w:tc>
      </w:tr>
      <w:tr>
        <w:trPr>
          <w:cantSplit/>
        </w:trPr>
        <w:tc>
          <w:tcPr>
            <w:tcW w:type="dxa" w:w="2951"/>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HTTP</w:t>
            </w:r>
          </w:p>
        </w:tc>
        <w:tc>
          <w:tcPr>
            <w:tcW w:type="dxa" w:w="676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Server port, servlet context, forwarded headers, request limits.</w:t>
            </w:r>
          </w:p>
        </w:tc>
      </w:tr>
      <w:tr>
        <w:trPr>
          <w:cantSplit/>
        </w:trPr>
        <w:tc>
          <w:tcPr>
            <w:tcW w:type="dxa" w:w="2951"/>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Database</w:t>
            </w:r>
          </w:p>
        </w:tc>
        <w:tc>
          <w:tcPr>
            <w:tcW w:type="dxa" w:w="676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JDBC URL, user, password, pool sizes, transaction timeouts.</w:t>
            </w:r>
          </w:p>
        </w:tc>
      </w:tr>
      <w:tr>
        <w:trPr>
          <w:cantSplit/>
        </w:trPr>
        <w:tc>
          <w:tcPr>
            <w:tcW w:type="dxa" w:w="2951"/>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Liquibase</w:t>
            </w:r>
          </w:p>
        </w:tc>
        <w:tc>
          <w:tcPr>
            <w:tcW w:type="dxa" w:w="676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Changelog location, contexts, labels, migration enablement.</w:t>
            </w:r>
          </w:p>
        </w:tc>
      </w:tr>
      <w:tr>
        <w:trPr>
          <w:cantSplit/>
        </w:trPr>
        <w:tc>
          <w:tcPr>
            <w:tcW w:type="dxa" w:w="2951"/>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Security</w:t>
            </w:r>
          </w:p>
        </w:tc>
        <w:tc>
          <w:tcPr>
            <w:tcW w:type="dxa" w:w="676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JWT issuer/audience, signing keys, cookie attributes, CORS origins.</w:t>
            </w:r>
          </w:p>
        </w:tc>
      </w:tr>
      <w:tr>
        <w:trPr>
          <w:cantSplit/>
        </w:trPr>
        <w:tc>
          <w:tcPr>
            <w:tcW w:type="dxa" w:w="2951"/>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Kafka</w:t>
            </w:r>
          </w:p>
        </w:tc>
        <w:tc>
          <w:tcPr>
            <w:tcW w:type="dxa" w:w="676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Bootstrap servers, topics, consumer groups, serializers, retry policy.</w:t>
            </w:r>
          </w:p>
        </w:tc>
      </w:tr>
      <w:tr>
        <w:trPr>
          <w:cantSplit/>
        </w:trPr>
        <w:tc>
          <w:tcPr>
            <w:tcW w:type="dxa" w:w="2951"/>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Eureka</w:t>
            </w:r>
          </w:p>
        </w:tc>
        <w:tc>
          <w:tcPr>
            <w:tcW w:type="dxa" w:w="676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Registry URL, service name, instance metadata.</w:t>
            </w:r>
          </w:p>
        </w:tc>
      </w:tr>
      <w:tr>
        <w:trPr>
          <w:cantSplit/>
        </w:trPr>
        <w:tc>
          <w:tcPr>
            <w:tcW w:type="dxa" w:w="2951"/>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Mail</w:t>
            </w:r>
          </w:p>
        </w:tc>
        <w:tc>
          <w:tcPr>
            <w:tcW w:type="dxa" w:w="676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SMTP host, port, authentication, sender identity.</w:t>
            </w:r>
          </w:p>
        </w:tc>
      </w:tr>
      <w:tr>
        <w:trPr>
          <w:cantSplit/>
        </w:trPr>
        <w:tc>
          <w:tcPr>
            <w:tcW w:type="dxa" w:w="2951"/>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Internal APIs</w:t>
            </w:r>
          </w:p>
        </w:tc>
        <w:tc>
          <w:tcPr>
            <w:tcW w:type="dxa" w:w="676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Prefixes and paths for device pairing, verification, and read synchronization.</w:t>
            </w:r>
          </w:p>
        </w:tc>
      </w:tr>
      <w:tr>
        <w:trPr>
          <w:cantSplit/>
        </w:trPr>
        <w:tc>
          <w:tcPr>
            <w:tcW w:type="dxa" w:w="2951"/>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Integrations</w:t>
            </w:r>
          </w:p>
        </w:tc>
        <w:tc>
          <w:tcPr>
            <w:tcW w:type="dxa" w:w="676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Geocoding provider, InPost, route/return service URLs, timeouts.</w:t>
            </w:r>
          </w:p>
        </w:tc>
      </w:tr>
      <w:tr>
        <w:trPr>
          <w:cantSplit/>
        </w:trPr>
        <w:tc>
          <w:tcPr>
            <w:tcW w:type="dxa" w:w="2951"/>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Operations</w:t>
            </w:r>
          </w:p>
        </w:tc>
        <w:tc>
          <w:tcPr>
            <w:tcW w:type="dxa" w:w="676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Actuator exposure, logging levels, tracing, cache behavior.</w:t>
            </w:r>
          </w:p>
        </w:tc>
      </w:tr>
    </w:tbl>
    <w:p>
      <w:bookmarkStart w:id="426" w:name="mv2_h_0055"/>
      <w:pPr>
        <w:pStyle w:val="Heading2"/>
        <w:keepNext/>
        <w:widowControl/>
      </w:pPr>
      <w:r>
        <w:t xml:space="preserve">6.5 Internal API Prefixes</w:t>
      </w:r>
      <w:bookmarkEnd w:id="426"/>
    </w:p>
    <w:p>
      <w:pPr>
        <w:pStyle w:val="FirstParagraph"/>
        <w:widowControl/>
        <w:jc w:val="left"/>
      </w:pPr>
      <w:r>
        <w:t>Configuration defines an internal prefix such as /internal and paths for device pairing, device verification, and shipment read synchronization.</w:t>
      </w:r>
    </w:p>
    <w:p>
      <w:bookmarkStart w:id="427" w:name="mv2_h_0056"/>
      <w:pPr>
        <w:pStyle w:val="Heading2"/>
        <w:keepNext/>
        <w:widowControl/>
      </w:pPr>
      <w:r>
        <w:t xml:space="preserve">6.6 CORS Configuration</w:t>
      </w:r>
      <w:bookmarkEnd w:id="427"/>
    </w:p>
    <w:p>
      <w:pPr>
        <w:pStyle w:val="FirstParagraph"/>
        <w:widowControl/>
        <w:jc w:val="left"/>
      </w:pPr>
      <w:r>
        <w:t>The reviewed configuration permits local user-interface origins and the hosted managerv2gui.onrender.com origin, with credentialed requests.</w:t>
      </w:r>
    </w:p>
    <w:p>
      <w:bookmarkStart w:id="428" w:name="mv2_h_0057"/>
      <w:pPr>
        <w:pStyle w:val="Heading2"/>
        <w:keepNext/>
        <w:widowControl/>
      </w:pPr>
      <w:r>
        <w:t xml:space="preserve">6.7 Cookie Configuration</w:t>
      </w:r>
      <w:bookmarkEnd w:id="428"/>
    </w:p>
    <w:p>
      <w:pPr>
        <w:pStyle w:val="FirstParagraph"/>
        <w:widowControl/>
        <w:jc w:val="left"/>
        <w:spacing w:after="100"/>
      </w:pPr>
      <w:r>
        <w:t>Access and refresh tokens are carried in cookies, while the CSRF token is exposed through the XSRF-TOKEN cookie and X-XSRF-TOKEN request header.</w:t>
      </w:r>
    </w:p>
    <w:p>
      <w:bookmarkStart w:id="430" w:name="mv2_h_0059"/>
      <w:pPr>
        <w:pStyle w:val="Heading2"/>
        <w:keepNext/>
        <w:widowControl/>
      </w:pPr>
      <w:r>
        <w:t xml:space="preserve">6.8 Seed Data</w:t>
      </w:r>
      <w:bookmarkEnd w:id="430"/>
    </w:p>
    <w:p>
      <w:pPr>
        <w:pStyle w:val="FirstParagraph"/>
        <w:widowControl/>
        <w:jc w:val="left"/>
      </w:pPr>
      <w:r>
        <w:t>The development profile can seed data during startup.</w:t>
      </w:r>
    </w:p>
    <w:p>
      <w:bookmarkStart w:id="431" w:name="mv2_h_0060"/>
      <w:pPr>
        <w:pStyle w:val="Heading2"/>
        <w:keepNext/>
        <w:widowControl/>
      </w:pPr>
      <w:r>
        <w:t xml:space="preserve">6.9 Caching and Scheduling</w:t>
      </w:r>
      <w:bookmarkEnd w:id="431"/>
    </w:p>
    <w:p>
      <w:pPr>
        <w:pStyle w:val="FirstParagraph"/>
        <w:widowControl/>
        <w:jc w:val="left"/>
      </w:pPr>
      <w:r>
        <w:t>Caching and scheduling are enabled globally by the application bootstrap.</w:t>
      </w:r>
    </w:p>
    <w:p>
      <w:bookmarkStart w:id="432" w:name="mv2_h_0061"/>
      <w:pPr>
        <w:pStyle w:val="Heading1"/>
        <w:keepNext/>
        <w:widowControl/>
      </w:pPr>
      <w:r>
        <w:t xml:space="preserve">7. Security, Authentication, Authorization, and Multi-Tenancy</w:t>
      </w:r>
      <w:bookmarkEnd w:id="432"/>
    </w:p>
    <w:p>
      <w:bookmarkStart w:id="433" w:name="mv2_h_0062"/>
      <w:pPr>
        <w:pStyle w:val="Heading2"/>
        <w:keepNext/>
        <w:widowControl/>
      </w:pPr>
      <w:r>
        <w:t xml:space="preserve">7.1 Security Model Overview</w:t>
      </w:r>
      <w:bookmarkEnd w:id="433"/>
    </w:p>
    <w:p>
      <w:pPr>
        <w:pStyle w:val="FirstParagraph"/>
        <w:widowControl/>
        <w:jc w:val="left"/>
      </w:pPr>
      <w:r>
        <w:t>The application combines browser-oriented cookie security, stateless Spring Security, method-level permission checks, device credentials, and internal synchronization authentication. Operator context spans the request, identity, authorization, persistence, and SQL-query layers.</w:t>
      </w:r>
    </w:p>
    <w:p>
      <w:pPr>
        <w:pStyle w:val="CaptionedFigure"/>
        <w:keepNext/>
        <w:widowControl/>
        <w:jc w:val="center"/>
      </w:pPr>
      <w:r>
        <w:drawing>
          <wp:inline>
            <wp:extent cx="4160520" cy="3217997"/>
            <wp:effectExtent b="0" l="0" r="0" t="0"/>
            <wp:docPr descr="Simplified request security pipeline" title="" id="87" name="Picture"/>
            <a:graphic>
              <a:graphicData uri="http://schemas.openxmlformats.org/drawingml/2006/picture">
                <pic:pic>
                  <pic:nvPicPr>
                    <pic:cNvPr descr="assets/security_flow.png" id="88" name="Picture"/>
                    <pic:cNvPicPr>
                      <a:picLocks noChangeArrowheads="1" noChangeAspect="1"/>
                    </pic:cNvPicPr>
                  </pic:nvPicPr>
                  <pic:blipFill>
                    <a:blip r:embed="rId86"/>
                    <a:stretch>
                      <a:fillRect/>
                    </a:stretch>
                  </pic:blipFill>
                  <pic:spPr bwMode="auto">
                    <a:xfrm>
                      <a:off x="0" y="0"/>
                      <a:ext cx="4160520" cy="3217997"/>
                    </a:xfrm>
                    <a:prstGeom prst="rect">
                      <a:avLst/>
                    </a:prstGeom>
                    <a:noFill/>
                    <a:ln w="9525">
                      <a:noFill/>
                      <a:headEnd/>
                      <a:tailEnd/>
                    </a:ln>
                  </pic:spPr>
                </pic:pic>
              </a:graphicData>
            </a:graphic>
          </wp:inline>
        </w:drawing>
      </w:r>
    </w:p>
    <w:p>
      <w:pPr>
        <w:pStyle w:val="ImageCaption"/>
        <w:widowControl/>
        <w:jc w:val="center"/>
      </w:pPr>
      <w:r>
        <w:rPr>
          <w:rFonts w:ascii="Carlito" w:hAnsi="Carlito" w:eastAsia="Carlito"/>
          <w:i/>
          <w:color w:val="44515C"/>
          <w:sz w:val="17"/>
        </w:rPr>
        <w:t>Figure 3. Simplified request security pipeline</w:t>
      </w:r>
    </w:p>
    <w:p>
      <w:pPr>
        <w:pStyle w:val="BodyText"/>
        <w:widowControl/>
        <w:jc w:val="left"/>
      </w:pPr>
      <w:r>
        <w:t xml:space="preserve">The exact filter ordering is implementation-specific, but the conceptual sequence is stable: request-origin policy and CSRF are evaluated, specialized device or internal authentication may run, JWT authentication establishes human identity, and method-level authorization protects the application operation.</w:t>
      </w:r>
    </w:p>
    <w:p>
      <w:bookmarkStart w:id="434" w:name="mv2_h_0063"/>
      <w:pPr>
        <w:pStyle w:val="Heading2"/>
        <w:keepNext/>
        <w:widowControl/>
      </w:pPr>
      <w:r>
        <w:t xml:space="preserve">7.2 Authentication Endpoints</w:t>
      </w:r>
      <w:bookmarkEnd w:id="434"/>
    </w:p>
    <w:p>
      <w:pPr>
        <w:pStyle w:val="FirstParagraph"/>
        <w:widowControl/>
        <w:jc w:val="left"/>
        <w:spacing w:after="100"/>
      </w:pPr>
      <w:r>
        <w:t xml:space="preserve">Representative authorization routes include:</w:t>
      </w:r>
    </w:p>
    <w:tbl>
      <w:tblPr>
        <w:tblStyle w:val="Table"/>
        <w:tblW w:type="pct" w:w="5000"/>
        <w:jc w:val="center"/>
        <w:tblLayout w:type="fixed"/>
        <w:tblLook w:firstRow="1" w:lastRow="0" w:firstColumn="0" w:lastColumn="0" w:noHBand="0" w:noVBand="0" w:val="0020"/>
        <w:tblBorders>
          <w:top w:val="single" w:sz="4" w:space="0" w:color="D7E0E6"/>
          <w:left w:val="single" w:sz="4" w:space="0" w:color="D7E0E6"/>
          <w:bottom w:val="single" w:sz="4" w:space="0" w:color="D7E0E6"/>
          <w:right w:val="single" w:sz="4" w:space="0" w:color="D7E0E6"/>
          <w:insideH w:val="single" w:sz="4" w:space="0" w:color="D7E0E6"/>
          <w:insideV w:val="single" w:sz="4" w:space="0" w:color="D7E0E6"/>
        </w:tblBorders>
      </w:tblPr>
      <w:tblGrid>
        <w:gridCol w:w="2640"/>
        <w:gridCol w:w="2640"/>
        <w:gridCol w:w="2640"/>
      </w:tblGrid>
      <w:tr>
        <w:trPr>
          <w:tblHeader w:val="true"/>
          <w:cantSplit/>
        </w:trPr>
        <w:tc>
          <w:tcPr>
            <w:tcW w:type="dxa" w:w="2015"/>
            <w:tcMar>
              <w:top w:w="85" w:type="dxa"/>
              <w:start w:w="100" w:type="dxa"/>
              <w:bottom w:w="85" w:type="dxa"/>
              <w:end w:w="100" w:type="dxa"/>
            </w:tcMar>
            <w:vAlign w:val="center"/>
            <w:shd w:fill="17324D" w:val="clear"/>
          </w:tcPr>
          <w:p>
            <w:pPr>
              <w:pStyle w:val="Compact"/>
              <w:widowControl/>
              <w:spacing w:before="0" w:after="30" w:line="240" w:lineRule="auto"/>
              <w:jc w:val="left"/>
            </w:pPr>
            <w:r>
              <w:rPr>
                <w:rFonts w:ascii="Noto Sans" w:hAnsi="Noto Sans" w:eastAsia="Noto Sans"/>
                <w:b/>
                <w:color w:val="FFFFFF"/>
                <w:sz w:val="17"/>
              </w:rPr>
              <w:t xml:space="preserve">Base path</w:t>
            </w:r>
          </w:p>
        </w:tc>
        <w:tc>
          <w:tcPr>
            <w:tcW w:type="dxa" w:w="3311"/>
            <w:tcMar>
              <w:top w:w="85" w:type="dxa"/>
              <w:start w:w="100" w:type="dxa"/>
              <w:bottom w:w="85" w:type="dxa"/>
              <w:end w:w="100" w:type="dxa"/>
            </w:tcMar>
            <w:vAlign w:val="center"/>
            <w:shd w:fill="17324D" w:val="clear"/>
          </w:tcPr>
          <w:p>
            <w:pPr>
              <w:pStyle w:val="Compact"/>
              <w:widowControl/>
              <w:spacing w:before="0" w:after="30" w:line="240" w:lineRule="auto"/>
              <w:jc w:val="left"/>
            </w:pPr>
            <w:r>
              <w:rPr>
                <w:rFonts w:ascii="Noto Sans" w:hAnsi="Noto Sans" w:eastAsia="Noto Sans"/>
                <w:b/>
                <w:color w:val="FFFFFF"/>
                <w:sz w:val="17"/>
              </w:rPr>
              <w:t xml:space="preserve">Method</w:t>
            </w:r>
          </w:p>
        </w:tc>
        <w:tc>
          <w:tcPr>
            <w:tcW w:type="dxa" w:w="4392"/>
            <w:tcMar>
              <w:top w:w="85" w:type="dxa"/>
              <w:start w:w="100" w:type="dxa"/>
              <w:bottom w:w="85" w:type="dxa"/>
              <w:end w:w="100" w:type="dxa"/>
            </w:tcMar>
            <w:vAlign w:val="center"/>
            <w:shd w:fill="17324D" w:val="clear"/>
          </w:tcPr>
          <w:p>
            <w:pPr>
              <w:pStyle w:val="Compact"/>
              <w:widowControl/>
              <w:spacing w:before="0" w:after="30" w:line="240" w:lineRule="auto"/>
              <w:jc w:val="left"/>
            </w:pPr>
            <w:r>
              <w:rPr>
                <w:rFonts w:ascii="Noto Sans" w:hAnsi="Noto Sans" w:eastAsia="Noto Sans"/>
                <w:b/>
                <w:color w:val="FFFFFF"/>
                <w:sz w:val="17"/>
              </w:rPr>
              <w:t xml:space="preserve">Operation</w:t>
            </w:r>
          </w:p>
        </w:tc>
      </w:tr>
      <w:tr>
        <w:trPr>
          <w:cantSplit/>
        </w:trPr>
        <w:tc>
          <w:tcPr>
            <w:tcW w:type="dxa" w:w="2015"/>
            <w:tcMar>
              <w:top w:w="85" w:type="dxa"/>
              <w:start w:w="100" w:type="dxa"/>
              <w:bottom w:w="85" w:type="dxa"/>
              <w:end w:w="100" w:type="dxa"/>
            </w:tcMar>
            <w:vAlign w:val="center"/>
            <w:shd w:fill="FFFFFF" w:val="clear"/>
          </w:tcPr>
          <w:p>
            <w:pPr>
              <w:pStyle w:val="Compact"/>
              <w:widowControl/>
              <w:spacing w:before="0" w:after="30" w:line="240" w:lineRule="auto"/>
              <w:jc w:val="left"/>
            </w:pPr>
            <w:r>
              <w:rPr>
                <w:rStyle w:val="VerbatimChar"/>
                <w:rFonts w:ascii="Carlito" w:hAnsi="Carlito" w:eastAsia="Carlito"/>
                <w:color w:val="44515C"/>
                <w:sz w:val="17"/>
              </w:rPr>
              <w:t xml:space="preserve">/auth</w:t>
            </w:r>
          </w:p>
        </w:tc>
        <w:tc>
          <w:tcPr>
            <w:tcW w:type="dxa" w:w="3311"/>
            <w:tcMar>
              <w:top w:w="85" w:type="dxa"/>
              <w:start w:w="100" w:type="dxa"/>
              <w:bottom w:w="85" w:type="dxa"/>
              <w:end w:w="100" w:type="dxa"/>
            </w:tcMar>
            <w:vAlign w:val="center"/>
            <w:shd w:fill="FFFFFF" w:val="clear"/>
          </w:tcPr>
          <w:p>
            <w:pPr>
              <w:pStyle w:val="Compact"/>
              <w:widowControl/>
              <w:spacing w:before="0" w:after="30" w:line="240" w:lineRule="auto"/>
              <w:jc w:val="left"/>
            </w:pPr>
            <w:r>
              <w:rPr>
                <w:rStyle w:val="VerbatimChar"/>
                <w:rFonts w:ascii="Carlito" w:hAnsi="Carlito" w:eastAsia="Carlito"/>
                <w:color w:val="44515C"/>
                <w:sz w:val="17"/>
              </w:rPr>
              <w:t xml:space="preserve">POST /signup</w:t>
            </w:r>
          </w:p>
        </w:tc>
        <w:tc>
          <w:tcPr>
            <w:tcW w:type="dxa" w:w="4392"/>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Register a user or initiate a sign-up flow.</w:t>
            </w:r>
          </w:p>
        </w:tc>
      </w:tr>
      <w:tr>
        <w:trPr>
          <w:cantSplit/>
        </w:trPr>
        <w:tc>
          <w:tcPr>
            <w:tcW w:type="dxa" w:w="2015"/>
            <w:tcMar>
              <w:top w:w="85" w:type="dxa"/>
              <w:start w:w="100" w:type="dxa"/>
              <w:bottom w:w="85" w:type="dxa"/>
              <w:end w:w="100" w:type="dxa"/>
            </w:tcMar>
            <w:vAlign w:val="center"/>
            <w:shd w:fill="FFFFFF" w:val="clear"/>
          </w:tcPr>
          <w:p>
            <w:pPr>
              <w:pStyle w:val="Compact"/>
              <w:widowControl/>
              <w:spacing w:before="0" w:after="30" w:line="240" w:lineRule="auto"/>
              <w:jc w:val="left"/>
            </w:pPr>
            <w:r>
              <w:rPr>
                <w:rStyle w:val="VerbatimChar"/>
                <w:rFonts w:ascii="Carlito" w:hAnsi="Carlito" w:eastAsia="Carlito"/>
                <w:color w:val="44515C"/>
                <w:sz w:val="17"/>
              </w:rPr>
              <w:t xml:space="preserve">/auth</w:t>
            </w:r>
          </w:p>
        </w:tc>
        <w:tc>
          <w:tcPr>
            <w:tcW w:type="dxa" w:w="3311"/>
            <w:tcMar>
              <w:top w:w="85" w:type="dxa"/>
              <w:start w:w="100" w:type="dxa"/>
              <w:bottom w:w="85" w:type="dxa"/>
              <w:end w:w="100" w:type="dxa"/>
            </w:tcMar>
            <w:vAlign w:val="center"/>
            <w:shd w:fill="FFFFFF" w:val="clear"/>
          </w:tcPr>
          <w:p>
            <w:pPr>
              <w:pStyle w:val="Compact"/>
              <w:widowControl/>
              <w:spacing w:before="0" w:after="30" w:line="240" w:lineRule="auto"/>
              <w:jc w:val="left"/>
            </w:pPr>
            <w:r>
              <w:rPr>
                <w:rStyle w:val="VerbatimChar"/>
                <w:rFonts w:ascii="Carlito" w:hAnsi="Carlito" w:eastAsia="Carlito"/>
                <w:color w:val="44515C"/>
                <w:sz w:val="17"/>
              </w:rPr>
              <w:t xml:space="preserve">POST /login</w:t>
            </w:r>
          </w:p>
        </w:tc>
        <w:tc>
          <w:tcPr>
            <w:tcW w:type="dxa" w:w="4392"/>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Authenticate and issue token cookies.</w:t>
            </w:r>
          </w:p>
        </w:tc>
      </w:tr>
      <w:tr>
        <w:trPr>
          <w:cantSplit/>
        </w:trPr>
        <w:tc>
          <w:tcPr>
            <w:tcW w:type="dxa" w:w="2015"/>
            <w:tcMar>
              <w:top w:w="85" w:type="dxa"/>
              <w:start w:w="100" w:type="dxa"/>
              <w:bottom w:w="85" w:type="dxa"/>
              <w:end w:w="100" w:type="dxa"/>
            </w:tcMar>
            <w:vAlign w:val="center"/>
            <w:shd w:fill="FFFFFF" w:val="clear"/>
          </w:tcPr>
          <w:p>
            <w:pPr>
              <w:pStyle w:val="Compact"/>
              <w:widowControl/>
              <w:spacing w:before="0" w:after="30" w:line="240" w:lineRule="auto"/>
              <w:jc w:val="left"/>
            </w:pPr>
            <w:r>
              <w:rPr>
                <w:rStyle w:val="VerbatimChar"/>
                <w:rFonts w:ascii="Carlito" w:hAnsi="Carlito" w:eastAsia="Carlito"/>
                <w:color w:val="44515C"/>
                <w:sz w:val="17"/>
              </w:rPr>
              <w:t xml:space="preserve">/auth</w:t>
            </w:r>
          </w:p>
        </w:tc>
        <w:tc>
          <w:tcPr>
            <w:tcW w:type="dxa" w:w="3311"/>
            <w:tcMar>
              <w:top w:w="85" w:type="dxa"/>
              <w:start w:w="100" w:type="dxa"/>
              <w:bottom w:w="85" w:type="dxa"/>
              <w:end w:w="100" w:type="dxa"/>
            </w:tcMar>
            <w:vAlign w:val="center"/>
            <w:shd w:fill="FFFFFF" w:val="clear"/>
          </w:tcPr>
          <w:p>
            <w:pPr>
              <w:pStyle w:val="Compact"/>
              <w:widowControl/>
              <w:spacing w:before="0" w:after="30" w:line="240" w:lineRule="auto"/>
              <w:jc w:val="left"/>
            </w:pPr>
            <w:r>
              <w:rPr>
                <w:rStyle w:val="VerbatimChar"/>
                <w:rFonts w:ascii="Carlito" w:hAnsi="Carlito" w:eastAsia="Carlito"/>
                <w:color w:val="44515C"/>
                <w:sz w:val="17"/>
              </w:rPr>
              <w:t xml:space="preserve">POST /refresh</w:t>
            </w:r>
          </w:p>
        </w:tc>
        <w:tc>
          <w:tcPr>
            <w:tcW w:type="dxa" w:w="4392"/>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Rotate or refresh authentication tokens.</w:t>
            </w:r>
          </w:p>
        </w:tc>
      </w:tr>
      <w:tr>
        <w:trPr>
          <w:cantSplit/>
        </w:trPr>
        <w:tc>
          <w:tcPr>
            <w:tcW w:type="dxa" w:w="2015"/>
            <w:tcMar>
              <w:top w:w="85" w:type="dxa"/>
              <w:start w:w="100" w:type="dxa"/>
              <w:bottom w:w="85" w:type="dxa"/>
              <w:end w:w="100" w:type="dxa"/>
            </w:tcMar>
            <w:vAlign w:val="center"/>
            <w:shd w:fill="FFFFFF" w:val="clear"/>
          </w:tcPr>
          <w:p>
            <w:pPr>
              <w:pStyle w:val="Compact"/>
              <w:widowControl/>
              <w:spacing w:before="0" w:after="30" w:line="240" w:lineRule="auto"/>
              <w:jc w:val="left"/>
            </w:pPr>
            <w:r>
              <w:rPr>
                <w:rStyle w:val="VerbatimChar"/>
                <w:rFonts w:ascii="Carlito" w:hAnsi="Carlito" w:eastAsia="Carlito"/>
                <w:color w:val="44515C"/>
                <w:sz w:val="17"/>
              </w:rPr>
              <w:t xml:space="preserve">/auth</w:t>
            </w:r>
          </w:p>
        </w:tc>
        <w:tc>
          <w:tcPr>
            <w:tcW w:type="dxa" w:w="3311"/>
            <w:tcMar>
              <w:top w:w="85" w:type="dxa"/>
              <w:start w:w="100" w:type="dxa"/>
              <w:bottom w:w="85" w:type="dxa"/>
              <w:end w:w="100" w:type="dxa"/>
            </w:tcMar>
            <w:vAlign w:val="center"/>
            <w:shd w:fill="FFFFFF" w:val="clear"/>
          </w:tcPr>
          <w:p>
            <w:pPr>
              <w:pStyle w:val="Compact"/>
              <w:widowControl/>
              <w:spacing w:before="0" w:after="30" w:line="240" w:lineRule="auto"/>
              <w:jc w:val="left"/>
            </w:pPr>
            <w:r>
              <w:rPr>
                <w:rStyle w:val="VerbatimChar"/>
                <w:rFonts w:ascii="Carlito" w:hAnsi="Carlito" w:eastAsia="Carlito"/>
                <w:color w:val="44515C"/>
                <w:sz w:val="17"/>
              </w:rPr>
              <w:t xml:space="preserve">POST /logout</w:t>
            </w:r>
          </w:p>
        </w:tc>
        <w:tc>
          <w:tcPr>
            <w:tcW w:type="dxa" w:w="4392"/>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Revoke or clear authentication state.</w:t>
            </w:r>
          </w:p>
        </w:tc>
      </w:tr>
      <w:tr>
        <w:trPr>
          <w:cantSplit/>
        </w:trPr>
        <w:tc>
          <w:tcPr>
            <w:tcW w:type="dxa" w:w="2015"/>
            <w:tcMar>
              <w:top w:w="85" w:type="dxa"/>
              <w:start w:w="100" w:type="dxa"/>
              <w:bottom w:w="85" w:type="dxa"/>
              <w:end w:w="100" w:type="dxa"/>
            </w:tcMar>
            <w:vAlign w:val="center"/>
            <w:shd w:fill="FFFFFF" w:val="clear"/>
          </w:tcPr>
          <w:p>
            <w:pPr>
              <w:pStyle w:val="Compact"/>
              <w:widowControl/>
              <w:spacing w:before="0" w:after="30" w:line="240" w:lineRule="auto"/>
              <w:jc w:val="left"/>
            </w:pPr>
            <w:r>
              <w:rPr>
                <w:rStyle w:val="VerbatimChar"/>
                <w:rFonts w:ascii="Carlito" w:hAnsi="Carlito" w:eastAsia="Carlito"/>
                <w:color w:val="44515C"/>
                <w:sz w:val="17"/>
              </w:rPr>
              <w:t xml:space="preserve">/auth</w:t>
            </w:r>
          </w:p>
        </w:tc>
        <w:tc>
          <w:tcPr>
            <w:tcW w:type="dxa" w:w="3311"/>
            <w:tcMar>
              <w:top w:w="85" w:type="dxa"/>
              <w:start w:w="100" w:type="dxa"/>
              <w:bottom w:w="85" w:type="dxa"/>
              <w:end w:w="100" w:type="dxa"/>
            </w:tcMar>
            <w:vAlign w:val="center"/>
            <w:shd w:fill="FFFFFF" w:val="clear"/>
          </w:tcPr>
          <w:p>
            <w:pPr>
              <w:pStyle w:val="Compact"/>
              <w:widowControl/>
              <w:spacing w:before="0" w:after="30" w:line="240" w:lineRule="auto"/>
              <w:jc w:val="left"/>
            </w:pPr>
            <w:r>
              <w:rPr>
                <w:rStyle w:val="VerbatimChar"/>
                <w:rFonts w:ascii="Carlito" w:hAnsi="Carlito" w:eastAsia="Carlito"/>
                <w:color w:val="44515C"/>
                <w:sz w:val="17"/>
              </w:rPr>
              <w:t xml:space="preserve">GET /csrf</w:t>
            </w:r>
          </w:p>
        </w:tc>
        <w:tc>
          <w:tcPr>
            <w:tcW w:type="dxa" w:w="4392"/>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Obtain/initialize the CSRF token.</w:t>
            </w:r>
          </w:p>
        </w:tc>
      </w:tr>
      <w:tr>
        <w:trPr>
          <w:cantSplit/>
        </w:trPr>
        <w:tc>
          <w:tcPr>
            <w:tcW w:type="dxa" w:w="2015"/>
            <w:tcMar>
              <w:top w:w="85" w:type="dxa"/>
              <w:start w:w="100" w:type="dxa"/>
              <w:bottom w:w="85" w:type="dxa"/>
              <w:end w:w="100" w:type="dxa"/>
            </w:tcMar>
            <w:vAlign w:val="center"/>
            <w:shd w:fill="FFFFFF" w:val="clear"/>
          </w:tcPr>
          <w:p>
            <w:pPr>
              <w:pStyle w:val="Compact"/>
              <w:widowControl/>
              <w:spacing w:before="0" w:after="30" w:line="240" w:lineRule="auto"/>
              <w:jc w:val="left"/>
            </w:pPr>
            <w:r>
              <w:rPr>
                <w:rStyle w:val="VerbatimChar"/>
                <w:rFonts w:ascii="Carlito" w:hAnsi="Carlito" w:eastAsia="Carlito"/>
                <w:color w:val="44515C"/>
                <w:sz w:val="17"/>
              </w:rPr>
              <w:t xml:space="preserve">/auth/me</w:t>
            </w:r>
          </w:p>
        </w:tc>
        <w:tc>
          <w:tcPr>
            <w:tcW w:type="dxa" w:w="3311"/>
            <w:tcMar>
              <w:top w:w="85" w:type="dxa"/>
              <w:start w:w="100" w:type="dxa"/>
              <w:bottom w:w="85" w:type="dxa"/>
              <w:end w:w="100" w:type="dxa"/>
            </w:tcMar>
            <w:vAlign w:val="center"/>
            <w:shd w:fill="FFFFFF" w:val="clear"/>
          </w:tcPr>
          <w:p>
            <w:pPr>
              <w:pStyle w:val="Compact"/>
              <w:widowControl/>
              <w:spacing w:before="0" w:after="30" w:line="240" w:lineRule="auto"/>
              <w:jc w:val="left"/>
            </w:pPr>
            <w:r>
              <w:rPr>
                <w:rStyle w:val="VerbatimChar"/>
                <w:rFonts w:ascii="Carlito" w:hAnsi="Carlito" w:eastAsia="Carlito"/>
                <w:color w:val="44515C"/>
                <w:sz w:val="17"/>
              </w:rPr>
              <w:t xml:space="preserve">GET</w:t>
            </w:r>
          </w:p>
        </w:tc>
        <w:tc>
          <w:tcPr>
            <w:tcW w:type="dxa" w:w="4392"/>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Return the current authenticated user.</w:t>
            </w:r>
          </w:p>
        </w:tc>
      </w:tr>
      <w:tr>
        <w:trPr>
          <w:cantSplit/>
        </w:trPr>
        <w:tc>
          <w:tcPr>
            <w:tcW w:type="dxa" w:w="2015"/>
            <w:tcMar>
              <w:top w:w="85" w:type="dxa"/>
              <w:start w:w="100" w:type="dxa"/>
              <w:bottom w:w="85" w:type="dxa"/>
              <w:end w:w="100" w:type="dxa"/>
            </w:tcMar>
            <w:vAlign w:val="center"/>
            <w:shd w:fill="FFFFFF" w:val="clear"/>
          </w:tcPr>
          <w:p>
            <w:pPr>
              <w:pStyle w:val="Compact"/>
              <w:widowControl/>
              <w:spacing w:before="0" w:after="30" w:line="240" w:lineRule="auto"/>
              <w:jc w:val="left"/>
            </w:pPr>
            <w:r>
              <w:rPr>
                <w:rStyle w:val="VerbatimChar"/>
                <w:rFonts w:ascii="Carlito" w:hAnsi="Carlito" w:eastAsia="Carlito"/>
                <w:color w:val="44515C"/>
                <w:sz w:val="17"/>
              </w:rPr>
              <w:t xml:space="preserve">/auth/me</w:t>
            </w:r>
          </w:p>
        </w:tc>
        <w:tc>
          <w:tcPr>
            <w:tcW w:type="dxa" w:w="3311"/>
            <w:tcMar>
              <w:top w:w="85" w:type="dxa"/>
              <w:start w:w="100" w:type="dxa"/>
              <w:bottom w:w="85" w:type="dxa"/>
              <w:end w:w="100" w:type="dxa"/>
            </w:tcMar>
            <w:vAlign w:val="center"/>
            <w:shd w:fill="FFFFFF" w:val="clear"/>
          </w:tcPr>
          <w:p>
            <w:pPr>
              <w:pStyle w:val="Compact"/>
              <w:widowControl/>
              <w:spacing w:before="0" w:after="30" w:line="240" w:lineRule="auto"/>
              <w:jc w:val="left"/>
            </w:pPr>
            <w:r>
              <w:rPr>
                <w:rStyle w:val="VerbatimChar"/>
                <w:rFonts w:ascii="Carlito" w:hAnsi="Carlito" w:eastAsia="Carlito"/>
                <w:color w:val="44515C"/>
                <w:sz w:val="17"/>
              </w:rPr>
              <w:t xml:space="preserve">PUT /password</w:t>
            </w:r>
          </w:p>
        </w:tc>
        <w:tc>
          <w:tcPr>
            <w:tcW w:type="dxa" w:w="4392"/>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Change the current user’s password.</w:t>
            </w:r>
          </w:p>
        </w:tc>
      </w:tr>
      <w:tr>
        <w:trPr>
          <w:cantSplit/>
        </w:trPr>
        <w:tc>
          <w:tcPr>
            <w:tcW w:type="dxa" w:w="2015"/>
            <w:tcMar>
              <w:top w:w="85" w:type="dxa"/>
              <w:start w:w="100" w:type="dxa"/>
              <w:bottom w:w="85" w:type="dxa"/>
              <w:end w:w="100" w:type="dxa"/>
            </w:tcMar>
            <w:vAlign w:val="center"/>
            <w:shd w:fill="FFFFFF" w:val="clear"/>
          </w:tcPr>
          <w:p>
            <w:pPr>
              <w:pStyle w:val="Compact"/>
              <w:widowControl/>
              <w:spacing w:before="0" w:after="30" w:line="240" w:lineRule="auto"/>
              <w:jc w:val="left"/>
            </w:pPr>
            <w:r>
              <w:rPr>
                <w:rStyle w:val="VerbatimChar"/>
                <w:rFonts w:ascii="Carlito" w:hAnsi="Carlito" w:eastAsia="Carlito"/>
                <w:color w:val="44515C"/>
                <w:sz w:val="17"/>
              </w:rPr>
              <w:t xml:space="preserve">/auth/me</w:t>
            </w:r>
          </w:p>
        </w:tc>
        <w:tc>
          <w:tcPr>
            <w:tcW w:type="dxa" w:w="3311"/>
            <w:tcMar>
              <w:top w:w="85" w:type="dxa"/>
              <w:start w:w="100" w:type="dxa"/>
              <w:bottom w:w="85" w:type="dxa"/>
              <w:end w:w="100" w:type="dxa"/>
            </w:tcMar>
            <w:vAlign w:val="center"/>
            <w:shd w:fill="FFFFFF" w:val="clear"/>
          </w:tcPr>
          <w:p>
            <w:pPr>
              <w:pStyle w:val="Compact"/>
              <w:widowControl/>
              <w:spacing w:before="0" w:after="30" w:line="240" w:lineRule="auto"/>
              <w:jc w:val="left"/>
            </w:pPr>
            <w:r>
              <w:rPr>
                <w:rStyle w:val="VerbatimChar"/>
                <w:rFonts w:ascii="Carlito" w:hAnsi="Carlito" w:eastAsia="Carlito"/>
                <w:color w:val="44515C"/>
                <w:sz w:val="17"/>
              </w:rPr>
              <w:t xml:space="preserve">PUT /language</w:t>
            </w:r>
          </w:p>
        </w:tc>
        <w:tc>
          <w:tcPr>
            <w:tcW w:type="dxa" w:w="4392"/>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Change language preference.</w:t>
            </w:r>
          </w:p>
        </w:tc>
      </w:tr>
      <w:tr>
        <w:trPr>
          <w:cantSplit/>
        </w:trPr>
        <w:tc>
          <w:tcPr>
            <w:tcW w:type="dxa" w:w="2015"/>
            <w:tcMar>
              <w:top w:w="85" w:type="dxa"/>
              <w:start w:w="100" w:type="dxa"/>
              <w:bottom w:w="85" w:type="dxa"/>
              <w:end w:w="100" w:type="dxa"/>
            </w:tcMar>
            <w:vAlign w:val="center"/>
            <w:shd w:fill="FFFFFF" w:val="clear"/>
          </w:tcPr>
          <w:p>
            <w:pPr>
              <w:pStyle w:val="Compact"/>
              <w:widowControl/>
              <w:spacing w:before="0" w:after="30" w:line="240" w:lineRule="auto"/>
              <w:jc w:val="left"/>
            </w:pPr>
            <w:r>
              <w:rPr>
                <w:rStyle w:val="VerbatimChar"/>
                <w:rFonts w:ascii="Carlito" w:hAnsi="Carlito" w:eastAsia="Carlito"/>
                <w:color w:val="44515C"/>
                <w:sz w:val="17"/>
              </w:rPr>
              <w:t xml:space="preserve">/operators/{operatorId}/users</w:t>
            </w:r>
          </w:p>
        </w:tc>
        <w:tc>
          <w:tcPr>
            <w:tcW w:type="dxa" w:w="3311"/>
            <w:tcMar>
              <w:top w:w="85" w:type="dxa"/>
              <w:start w:w="100" w:type="dxa"/>
              <w:bottom w:w="85" w:type="dxa"/>
              <w:end w:w="100" w:type="dxa"/>
            </w:tcMar>
            <w:vAlign w:val="center"/>
            <w:shd w:fill="FFFFFF" w:val="clear"/>
          </w:tcPr>
          <w:p>
            <w:pPr>
              <w:pStyle w:val="Compact"/>
              <w:widowControl/>
              <w:spacing w:before="0" w:after="30" w:line="240" w:lineRule="auto"/>
              <w:jc w:val="left"/>
            </w:pPr>
            <w:r>
              <w:rPr>
                <w:rStyle w:val="VerbatimChar"/>
                <w:rFonts w:ascii="Carlito" w:hAnsi="Carlito" w:eastAsia="Carlito"/>
                <w:color w:val="44515C"/>
                <w:sz w:val="17"/>
              </w:rPr>
              <w:t xml:space="preserve">POST</w:t>
            </w:r>
          </w:p>
        </w:tc>
        <w:tc>
          <w:tcPr>
            <w:tcW w:type="dxa" w:w="4392"/>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Create an operator-scoped user, permission-protected.</w:t>
            </w:r>
          </w:p>
        </w:tc>
      </w:tr>
      <w:tr>
        <w:trPr>
          <w:cantSplit/>
        </w:trPr>
        <w:tc>
          <w:tcPr>
            <w:tcW w:type="dxa" w:w="2015"/>
            <w:tcMar>
              <w:top w:w="85" w:type="dxa"/>
              <w:start w:w="100" w:type="dxa"/>
              <w:bottom w:w="85" w:type="dxa"/>
              <w:end w:w="100" w:type="dxa"/>
            </w:tcMar>
            <w:vAlign w:val="center"/>
            <w:shd w:fill="FFFFFF" w:val="clear"/>
          </w:tcPr>
          <w:p>
            <w:pPr>
              <w:pStyle w:val="Compact"/>
              <w:widowControl/>
              <w:spacing w:before="0" w:after="30" w:line="240" w:lineRule="auto"/>
              <w:jc w:val="left"/>
            </w:pPr>
            <w:r>
              <w:rPr>
                <w:rStyle w:val="VerbatimChar"/>
                <w:rFonts w:ascii="Carlito" w:hAnsi="Carlito" w:eastAsia="Carlito"/>
                <w:color w:val="44515C"/>
                <w:sz w:val="17"/>
              </w:rPr>
              <w:t xml:space="preserve">/auth/refresh-tokens</w:t>
            </w:r>
          </w:p>
        </w:tc>
        <w:tc>
          <w:tcPr>
            <w:tcW w:type="dxa" w:w="3311"/>
            <w:tcMar>
              <w:top w:w="85" w:type="dxa"/>
              <w:start w:w="100" w:type="dxa"/>
              <w:bottom w:w="85" w:type="dxa"/>
              <w:end w:w="100" w:type="dxa"/>
            </w:tcMar>
            <w:vAlign w:val="center"/>
            <w:shd w:fill="FFFFFF" w:val="clear"/>
          </w:tcPr>
          <w:p>
            <w:pPr>
              <w:pStyle w:val="Compact"/>
              <w:widowControl/>
              <w:spacing w:before="0" w:after="30" w:line="240" w:lineRule="auto"/>
              <w:jc w:val="left"/>
            </w:pPr>
            <w:r>
              <w:rPr>
                <w:rStyle w:val="VerbatimChar"/>
                <w:rFonts w:ascii="Carlito" w:hAnsi="Carlito" w:eastAsia="Carlito"/>
                <w:color w:val="44515C"/>
                <w:sz w:val="17"/>
              </w:rPr>
              <w:t xml:space="preserve">GET</w:t>
            </w:r>
          </w:p>
        </w:tc>
        <w:tc>
          <w:tcPr>
            <w:tcW w:type="dxa" w:w="4392"/>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Administrative token maintenance/cleanup view.</w:t>
            </w:r>
          </w:p>
        </w:tc>
      </w:tr>
      <w:tr>
        <w:trPr>
          <w:cantSplit/>
        </w:trPr>
        <w:tc>
          <w:tcPr>
            <w:tcW w:type="dxa" w:w="2015"/>
            <w:tcMar>
              <w:top w:w="85" w:type="dxa"/>
              <w:start w:w="100" w:type="dxa"/>
              <w:bottom w:w="85" w:type="dxa"/>
              <w:end w:w="100" w:type="dxa"/>
            </w:tcMar>
            <w:vAlign w:val="center"/>
            <w:shd w:fill="FFFFFF" w:val="clear"/>
          </w:tcPr>
          <w:p>
            <w:pPr>
              <w:pStyle w:val="Compact"/>
              <w:widowControl/>
              <w:spacing w:before="0" w:after="30" w:line="240" w:lineRule="auto"/>
              <w:jc w:val="left"/>
            </w:pPr>
            <w:r>
              <w:rPr>
                <w:rStyle w:val="VerbatimChar"/>
                <w:rFonts w:ascii="Carlito" w:hAnsi="Carlito" w:eastAsia="Carlito"/>
                <w:color w:val="44515C"/>
                <w:sz w:val="17"/>
              </w:rPr>
              <w:t xml:space="preserve">/users</w:t>
            </w:r>
          </w:p>
        </w:tc>
        <w:tc>
          <w:tcPr>
            <w:tcW w:type="dxa" w:w="3311"/>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mixed</w:t>
            </w:r>
          </w:p>
        </w:tc>
        <w:tc>
          <w:tcPr>
            <w:tcW w:type="dxa" w:w="4392"/>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User lookup, creation, update, and permission operations.</w:t>
            </w:r>
          </w:p>
        </w:tc>
      </w:tr>
    </w:tbl>
    <w:p>
      <w:pPr>
        <w:pStyle w:val="BodyText"/>
        <w:widowControl/>
        <w:jc w:val="left"/>
        <w:spacing w:before="90"/>
      </w:pPr>
      <w:r>
        <w:t xml:space="preserve">Controller paths are normally prefixed by the configured</w:t>
      </w:r>
      <w:r>
        <w:t xml:space="preserve"> </w:t>
      </w:r>
      <w:r>
        <w:rPr>
          <w:rStyle w:val="VerbatimChar"/>
        </w:rPr>
        <w:t xml:space="preserve">/v2/api</w:t>
      </w:r>
      <w:r>
        <w:t xml:space="preserve"> </w:t>
      </w:r>
      <w:r>
        <w:t xml:space="preserve">servlet context. The list above is representative rather than a generated complete OpenAPI inventory.</w:t>
      </w:r>
    </w:p>
    <w:p>
      <w:bookmarkStart w:id="435" w:name="mv2_h_0064"/>
      <w:pPr>
        <w:pStyle w:val="Heading2"/>
        <w:keepNext/>
        <w:widowControl/>
      </w:pPr>
      <w:r>
        <w:t xml:space="preserve">7.3 JWT Validation</w:t>
      </w:r>
      <w:bookmarkEnd w:id="435"/>
    </w:p>
    <w:p>
      <w:pPr>
        <w:pStyle w:val="FirstParagraph"/>
        <w:widowControl/>
        <w:jc w:val="left"/>
      </w:pPr>
      <w:r>
        <w:t>JWT configuration includes signing material, issuer, audience, token type, subject, and operator identity used during authentication.</w:t>
      </w:r>
    </w:p>
    <w:p>
      <w:bookmarkStart w:id="436" w:name="mv2_h_0065"/>
      <w:pPr>
        <w:pStyle w:val="Heading2"/>
        <w:keepNext/>
        <w:widowControl/>
      </w:pPr>
      <w:r>
        <w:t xml:space="preserve">7.4 Access and Refresh Tokens</w:t>
      </w:r>
      <w:bookmarkEnd w:id="436"/>
    </w:p>
    <w:p>
      <w:pPr>
        <w:pStyle w:val="FirstParagraph"/>
        <w:widowControl/>
        <w:jc w:val="left"/>
      </w:pPr>
      <w:r>
        <w:t>The authentication flow uses access and refresh tokens with dedicated login, refresh, and logout endpoints. Both token types are transported through cookies.</w:t>
      </w:r>
    </w:p>
    <w:p>
      <w:bookmarkStart w:id="437" w:name="mv2_h_0066"/>
      <w:pPr>
        <w:pStyle w:val="Heading2"/>
        <w:keepNext/>
        <w:widowControl/>
      </w:pPr>
      <w:r>
        <w:t xml:space="preserve">7.5 CSRF Protection</w:t>
      </w:r>
      <w:bookmarkEnd w:id="437"/>
    </w:p>
    <w:p>
      <w:pPr>
        <w:pStyle w:val="FirstParagraph"/>
        <w:widowControl/>
        <w:jc w:val="left"/>
      </w:pPr>
      <w:r>
        <w:t>The reviewed configuration uses a cookie-based CSRF token named XSRF-TOKEN and expects the X-XSRF-TOKEN request header. Authentication cookies remain HttpOnly.</w:t>
      </w:r>
    </w:p>
    <w:p>
      <w:bookmarkStart w:id="438" w:name="mv2_h_0067"/>
      <w:pPr>
        <w:pStyle w:val="Heading2"/>
        <w:keepNext/>
        <w:widowControl/>
      </w:pPr>
      <w:r>
        <w:t xml:space="preserve">7.6 HTTP Authorization Rules</w:t>
      </w:r>
      <w:bookmarkEnd w:id="438"/>
    </w:p>
    <w:p>
      <w:pPr>
        <w:pStyle w:val="FirstParagraph"/>
        <w:widowControl/>
        <w:jc w:val="left"/>
      </w:pPr>
      <w:r>
        <w:t>Some routes are explicitly public, including preflight requests, login, refresh, logout, CSRF operations, Swagger/OpenAPI resources, selected device-pairing paths, and broad shipment matchers. The security chain uses a permissive final rule and relies on method-level annotations such as @AccessUserControl for protected operations.</w:t>
      </w:r>
    </w:p>
    <w:p>
      <w:bookmarkStart w:id="439" w:name="mv2_h_0068"/>
      <w:pPr>
        <w:pStyle w:val="Heading2"/>
        <w:keepNext/>
        <w:widowControl/>
      </w:pPr>
      <w:r>
        <w:t xml:space="preserve">7.7 Method-Level Authorization</w:t>
      </w:r>
      <w:bookmarkEnd w:id="439"/>
    </w:p>
    <w:p>
      <w:pPr>
        <w:pStyle w:val="FirstParagraph"/>
        <w:widowControl/>
        <w:jc w:val="left"/>
      </w:pPr>
      <w:r>
        <w:t>Method-level permission checks provide the domain-aware authorization layer and are represented by annotations such as @AccessUserControl.</w:t>
      </w:r>
    </w:p>
    <w:p>
      <w:bookmarkStart w:id="440" w:name="mv2_h_0069"/>
      <w:pPr>
        <w:pStyle w:val="Heading2"/>
        <w:keepNext/>
        <w:widowControl/>
      </w:pPr>
      <w:r>
        <w:t xml:space="preserve">7.8 Operator-Aware Identity</w:t>
      </w:r>
      <w:bookmarkEnd w:id="440"/>
    </w:p>
    <w:p>
      <w:pPr>
        <w:pStyle w:val="FirstParagraph"/>
        <w:widowControl/>
        <w:jc w:val="left"/>
      </w:pPr>
      <w:r>
        <w:t>The current release carries operator identity through JWT and current-user abstractions, logging context, repositories, provisioning flows, and integration credentials.</w:t>
      </w:r>
    </w:p>
    <w:p>
      <w:bookmarkStart w:id="441" w:name="mv2_h_0070"/>
      <w:pPr>
        <w:pStyle w:val="Heading2"/>
        <w:keepNext/>
        <w:widowControl/>
      </w:pPr>
      <w:r>
        <w:t xml:space="preserve">7.9 Data Isolation Patterns</w:t>
      </w:r>
      <w:bookmarkEnd w:id="441"/>
    </w:p>
    <w:p>
      <w:pPr>
        <w:pStyle w:val="FirstParagraph"/>
        <w:widowControl/>
        <w:jc w:val="left"/>
      </w:pPr>
      <w:r>
        <w:t>The reviewed codebase uses operator-aware identity and persistence patterns compatible with shared-schema isolation by operator identifier.</w:t>
      </w:r>
    </w:p>
    <w:p>
      <w:bookmarkStart w:id="442" w:name="mv2_h_0071"/>
      <w:pPr>
        <w:pStyle w:val="Heading2"/>
        <w:keepNext/>
        <w:widowControl/>
      </w:pPr>
      <w:r>
        <w:t xml:space="preserve">7.10 Device Authentication</w:t>
      </w:r>
      <w:bookmarkEnd w:id="442"/>
    </w:p>
    <w:p>
      <w:pPr>
        <w:pStyle w:val="FirstParagraph"/>
        <w:widowControl/>
        <w:jc w:val="left"/>
      </w:pPr>
      <w:r>
        <w:t>Device pairing and verification use specialized paths, filters, and device credentials that are separate from human-user JWT authentication.</w:t>
      </w:r>
    </w:p>
    <w:p>
      <w:bookmarkStart w:id="443" w:name="mv2_h_0072"/>
      <w:pPr>
        <w:pStyle w:val="Heading2"/>
        <w:keepNext/>
        <w:widowControl/>
      </w:pPr>
      <w:r>
        <w:t xml:space="preserve">7.11 Internal Read-Synchronization Authentication</w:t>
      </w:r>
      <w:bookmarkEnd w:id="443"/>
    </w:p>
    <w:p>
      <w:pPr>
        <w:pStyle w:val="FirstParagraph"/>
        <w:widowControl/>
        <w:jc w:val="left"/>
      </w:pPr>
      <w:r>
        <w:t>Shipment read-model synchronization paths have dedicated internal security treatment and separate credentials from regular user authentication.</w:t>
      </w:r>
    </w:p>
    <w:p>
      <w:bookmarkStart w:id="447" w:name="mv2_h_0076"/>
      <w:pPr>
        <w:pStyle w:val="Heading1"/>
        <w:keepNext/>
        <w:widowControl/>
      </w:pPr>
      <w:r>
        <w:t xml:space="preserve">8. Domain and Supporting Modules</w:t>
      </w:r>
      <w:bookmarkEnd w:id="447"/>
    </w:p>
    <w:p>
      <w:bookmarkStart w:id="448" w:name="mv2_h_0077"/>
      <w:pPr>
        <w:pStyle w:val="Heading2"/>
        <w:keepNext/>
        <w:widowControl/>
      </w:pPr>
      <w:r>
        <w:t xml:space="preserve">8.1 Reading the Module Catalog</w:t>
      </w:r>
      <w:bookmarkEnd w:id="448"/>
    </w:p>
    <w:p>
      <w:pPr>
        <w:pStyle w:val="FirstParagraph"/>
        <w:widowControl/>
        <w:jc w:val="left"/>
      </w:pPr>
      <w:r>
        <w:t>This chapter summarizes responsibilities inferred from module names, repository descriptions, dependencies, package structures, release notes, and representative code. It is an architectural catalog rather than generated API documentation.</w:t>
      </w:r>
    </w:p>
    <w:p>
      <w:bookmarkStart w:id="449" w:name="mv2_h_0078"/>
      <w:pPr>
        <w:pStyle w:val="Heading2"/>
        <w:keepNext/>
        <w:widowControl/>
      </w:pPr>
      <w:r>
        <w:t xml:space="preserve">8.2 Application</w:t>
      </w:r>
      <w:bookmarkEnd w:id="449"/>
    </w:p>
    <w:p>
      <w:bookmarkStart w:id="450" w:name="mv2_h_0079"/>
      <w:pPr>
        <w:pStyle w:val="Heading3"/>
        <w:keepNext/>
        <w:widowControl/>
      </w:pPr>
      <w:r>
        <w:t xml:space="preserve">8.2.1 Responsibility</w:t>
      </w:r>
      <w:bookmarkEnd w:id="450"/>
    </w:p>
    <w:p>
      <w:pPr>
        <w:pStyle w:val="FirstParagraph"/>
        <w:widowControl/>
        <w:jc w:val="left"/>
      </w:pPr>
      <w:r>
        <w:rPr>
          <w:rStyle w:val="VerbatimChar"/>
        </w:rPr>
        <w:t xml:space="preserve">Application</w:t>
      </w:r>
      <w:r>
        <w:t xml:space="preserve"> </w:t>
      </w:r>
      <w:r>
        <w:t xml:space="preserve">is the composition root for the modular monolith. It imports implementation modules, starts the web server, enables discovery and Feign, configures persistence and Liquibase, exposes Actuator and OpenAPI, and supplies shared runtime configuration.</w:t>
      </w:r>
    </w:p>
    <w:p>
      <w:bookmarkStart w:id="451" w:name="mv2_h_0080"/>
      <w:pPr>
        <w:pStyle w:val="Heading3"/>
        <w:keepNext/>
        <w:widowControl/>
      </w:pPr>
      <w:r>
        <w:t xml:space="preserve">8.2.2 Important Boundaries</w:t>
      </w:r>
      <w:bookmarkEnd w:id="451"/>
    </w:p>
    <w:p>
      <w:pPr>
        <w:pStyle w:val="FirstParagraph"/>
        <w:widowControl/>
        <w:jc w:val="left"/>
      </w:pPr>
      <w:r>
        <w:t>Application is the composition root and therefore depends on implementation modules. Business feature modules remain separate from the composition root.</w:t>
      </w:r>
    </w:p>
    <w:p>
      <w:bookmarkStart w:id="453" w:name="mv2_h_0082"/>
      <w:pPr>
        <w:pStyle w:val="Heading2"/>
        <w:keepNext/>
        <w:widowControl/>
      </w:pPr>
      <w:r>
        <w:t xml:space="preserve">8.3 Authorization</w:t>
      </w:r>
      <w:bookmarkEnd w:id="453"/>
    </w:p>
    <w:p>
      <w:bookmarkStart w:id="454" w:name="mv2_h_0083"/>
      <w:pPr>
        <w:pStyle w:val="Heading3"/>
        <w:keepNext/>
        <w:widowControl/>
      </w:pPr>
      <w:r>
        <w:t xml:space="preserve">8.3.1 Responsibility</w:t>
      </w:r>
      <w:bookmarkEnd w:id="454"/>
    </w:p>
    <w:p>
      <w:pPr>
        <w:pStyle w:val="FirstParagraph"/>
        <w:widowControl/>
        <w:jc w:val="left"/>
      </w:pPr>
      <w:r>
        <w:t xml:space="preserve">The Authorization area owns authentication, user identity, roles, permissions, refresh tokens, current-user access, operator context, and administrative user operations. It provides public contracts used throughout the system for authorization decisions.</w:t>
      </w:r>
    </w:p>
    <w:p>
      <w:bookmarkStart w:id="455" w:name="mv2_h_0084"/>
      <w:pPr>
        <w:pStyle w:val="Heading3"/>
        <w:keepNext/>
        <w:widowControl/>
      </w:pPr>
      <w:r>
        <w:t xml:space="preserve">8.3.2 Representative Capabilities</w:t>
      </w:r>
      <w:bookmarkEnd w:id="455"/>
    </w:p>
    <w:p>
      <w:pPr>
        <w:pStyle w:val="Compact"/>
        <w:widowControl/>
        <w:numPr>
          <w:ilvl w:val="0"/>
          <w:numId w:val="1012"/>
        </w:numPr>
      </w:pPr>
      <w:r>
        <w:t xml:space="preserve">login, logout, sign-up, and token refresh;</w:t>
      </w:r>
    </w:p>
    <w:p>
      <w:pPr>
        <w:pStyle w:val="Compact"/>
        <w:widowControl/>
        <w:numPr>
          <w:ilvl w:val="0"/>
          <w:numId w:val="1012"/>
        </w:numPr>
      </w:pPr>
      <w:r>
        <w:t xml:space="preserve">CSRF-token initialization;</w:t>
      </w:r>
    </w:p>
    <w:p>
      <w:pPr>
        <w:pStyle w:val="Compact"/>
        <w:widowControl/>
        <w:numPr>
          <w:ilvl w:val="0"/>
          <w:numId w:val="1012"/>
        </w:numPr>
      </w:pPr>
      <w:r>
        <w:t xml:space="preserve">current-user profile, password, and language changes;</w:t>
      </w:r>
    </w:p>
    <w:p>
      <w:pPr>
        <w:pStyle w:val="Compact"/>
        <w:widowControl/>
        <w:numPr>
          <w:ilvl w:val="0"/>
          <w:numId w:val="1012"/>
        </w:numPr>
      </w:pPr>
      <w:r>
        <w:t xml:space="preserve">operator-scoped user provisioning;</w:t>
      </w:r>
    </w:p>
    <w:p>
      <w:pPr>
        <w:pStyle w:val="Compact"/>
        <w:widowControl/>
        <w:numPr>
          <w:ilvl w:val="0"/>
          <w:numId w:val="1012"/>
        </w:numPr>
      </w:pPr>
      <w:r>
        <w:t xml:space="preserve">role and permission administration;</w:t>
      </w:r>
    </w:p>
    <w:p>
      <w:pPr>
        <w:pStyle w:val="Compact"/>
        <w:widowControl/>
        <w:numPr>
          <w:ilvl w:val="0"/>
          <w:numId w:val="1012"/>
        </w:numPr>
      </w:pPr>
      <w:r>
        <w:t xml:space="preserve">refresh-token cleanup and revocation;</w:t>
      </w:r>
    </w:p>
    <w:p>
      <w:pPr>
        <w:pStyle w:val="Compact"/>
        <w:widowControl/>
        <w:numPr>
          <w:ilvl w:val="0"/>
          <w:numId w:val="1012"/>
        </w:numPr>
      </w:pPr>
      <w:r>
        <w:t xml:space="preserve">JWT claim construction and validation; and</w:t>
      </w:r>
    </w:p>
    <w:p>
      <w:pPr>
        <w:pStyle w:val="Compact"/>
        <w:widowControl/>
        <w:numPr>
          <w:ilvl w:val="0"/>
          <w:numId w:val="1012"/>
        </w:numPr>
      </w:pPr>
      <w:r>
        <w:t xml:space="preserve">propagation of user/operator identity into application context and logs.</w:t>
      </w:r>
    </w:p>
    <w:p>
      <w:bookmarkStart w:id="457" w:name="mv2_h_0086"/>
      <w:pPr>
        <w:pStyle w:val="Heading2"/>
        <w:keepNext/>
        <w:widowControl/>
      </w:pPr>
      <w:r>
        <w:t xml:space="preserve">8.4 OrganisationStructure</w:t>
      </w:r>
      <w:bookmarkEnd w:id="457"/>
    </w:p>
    <w:p>
      <w:bookmarkStart w:id="458" w:name="mv2_h_0087"/>
      <w:pPr>
        <w:pStyle w:val="Heading3"/>
        <w:keepNext/>
        <w:widowControl/>
      </w:pPr>
      <w:r>
        <w:t xml:space="preserve">8.4.1 Responsibility</w:t>
      </w:r>
      <w:bookmarkEnd w:id="458"/>
    </w:p>
    <w:p>
      <w:pPr>
        <w:pStyle w:val="FirstParagraph"/>
        <w:widowControl/>
        <w:jc w:val="left"/>
      </w:pPr>
      <w:r>
        <w:t xml:space="preserve">This module represents organizational hierarchy and operator-related structure. It may coordinate the creation of organizations, departments, or related read views used by authorization and logistics modules.</w:t>
      </w:r>
    </w:p>
    <w:p>
      <w:bookmarkStart w:id="460" w:name="mv2_h_0089"/>
      <w:pPr>
        <w:pStyle w:val="Heading2"/>
        <w:keepNext/>
        <w:widowControl/>
      </w:pPr>
      <w:r>
        <w:t xml:space="preserve">8.5 DepartmentService</w:t>
      </w:r>
      <w:bookmarkEnd w:id="460"/>
    </w:p>
    <w:p>
      <w:bookmarkStart w:id="461" w:name="mv2_h_0090"/>
      <w:pPr>
        <w:pStyle w:val="Heading3"/>
        <w:keepNext/>
        <w:widowControl/>
      </w:pPr>
      <w:r>
        <w:t xml:space="preserve">8.5.1 Responsibility</w:t>
      </w:r>
      <w:bookmarkEnd w:id="461"/>
    </w:p>
    <w:p>
      <w:pPr>
        <w:pStyle w:val="FirstParagraph"/>
        <w:widowControl/>
        <w:jc w:val="left"/>
      </w:pPr>
      <w:r>
        <w:t xml:space="preserve">DepartmentService manages department data and synchronized department views. The current release refers to department read-model synchronization, indicating that some consumers use local projections rather than direct cross-module queries.</w:t>
      </w:r>
    </w:p>
    <w:p>
      <w:bookmarkStart w:id="463" w:name="mv2_h_0092"/>
      <w:pPr>
        <w:pStyle w:val="Heading2"/>
        <w:keepNext/>
        <w:widowControl/>
      </w:pPr>
      <w:r>
        <w:t xml:space="preserve">8.6 ShipmentManagement</w:t>
      </w:r>
      <w:bookmarkEnd w:id="463"/>
    </w:p>
    <w:p>
      <w:bookmarkStart w:id="464" w:name="mv2_h_0093"/>
      <w:pPr>
        <w:pStyle w:val="Heading3"/>
        <w:keepNext/>
        <w:widowControl/>
      </w:pPr>
      <w:r>
        <w:t xml:space="preserve">8.6.1 Responsibility</w:t>
      </w:r>
      <w:bookmarkEnd w:id="464"/>
    </w:p>
    <w:p>
      <w:pPr>
        <w:pStyle w:val="FirstParagraph"/>
        <w:widowControl/>
        <w:jc w:val="left"/>
      </w:pPr>
      <w:r>
        <w:t xml:space="preserve">ShipmentManagement is the central domain for shipment creation, state, returns, events, read synchronization, and integration with delivery and route capabilities. The repository contains both API and implementation structure, and release notes emphasize shipment-event development.</w:t>
      </w:r>
    </w:p>
    <w:p>
      <w:bookmarkStart w:id="466" w:name="mv2_h_0095"/>
      <w:pPr>
        <w:pStyle w:val="Heading3"/>
        <w:keepNext/>
        <w:widowControl/>
      </w:pPr>
      <w:r>
        <w:t xml:space="preserve">8.6.2 Event Contracts</w:t>
      </w:r>
      <w:bookmarkEnd w:id="466"/>
    </w:p>
    <w:p>
      <w:pPr>
        <w:pStyle w:val="FirstParagraph"/>
        <w:widowControl/>
        <w:jc w:val="left"/>
      </w:pPr>
      <w:r>
        <w:t>Representative shipment topics include shipment.events, shipment.return.created, and shipment.read-model.sync.</w:t>
      </w:r>
    </w:p>
    <w:p>
      <w:bookmarkStart w:id="468" w:name="mv2_h_0097"/>
      <w:pPr>
        <w:pStyle w:val="Heading2"/>
        <w:keepNext/>
        <w:widowControl/>
      </w:pPr>
      <w:r>
        <w:t xml:space="preserve">8.7 DeliveryOperation</w:t>
      </w:r>
      <w:bookmarkEnd w:id="468"/>
    </w:p>
    <w:p>
      <w:bookmarkStart w:id="469" w:name="mv2_h_0098"/>
      <w:pPr>
        <w:pStyle w:val="Heading3"/>
        <w:keepNext/>
        <w:widowControl/>
      </w:pPr>
      <w:r>
        <w:t xml:space="preserve">8.7.1 Responsibility</w:t>
      </w:r>
      <w:bookmarkEnd w:id="469"/>
    </w:p>
    <w:p>
      <w:pPr>
        <w:pStyle w:val="FirstParagraph"/>
        <w:widowControl/>
        <w:jc w:val="left"/>
      </w:pPr>
      <w:r>
        <w:t xml:space="preserve">DeliveryOperation owns actions performed during delivery execution, potentially including assignment, pickup, handover, completion, exception handling, and status transitions.</w:t>
      </w:r>
    </w:p>
    <w:p>
      <w:bookmarkStart w:id="471" w:name="mv2_h_0100"/>
      <w:pPr>
        <w:pStyle w:val="Heading2"/>
        <w:keepNext/>
        <w:widowControl/>
      </w:pPr>
      <w:r>
        <w:t xml:space="preserve">8.8 LogisticsOrchestrator</w:t>
      </w:r>
      <w:bookmarkEnd w:id="471"/>
    </w:p>
    <w:p>
      <w:bookmarkStart w:id="472" w:name="mv2_h_0101"/>
      <w:pPr>
        <w:pStyle w:val="Heading3"/>
        <w:keepNext/>
        <w:widowControl/>
      </w:pPr>
      <w:r>
        <w:t xml:space="preserve">8.8.1 Responsibility</w:t>
      </w:r>
      <w:bookmarkEnd w:id="472"/>
    </w:p>
    <w:p>
      <w:pPr>
        <w:pStyle w:val="FirstParagraph"/>
        <w:widowControl/>
        <w:jc w:val="left"/>
      </w:pPr>
      <w:r>
        <w:t xml:space="preserve">The orchestrator coordinates multi-module logistics workflows. It is the appropriate place for long-running business processes that span shipment, delivery, route, document, notification, supplier, or device capabilities.</w:t>
      </w:r>
    </w:p>
    <w:p>
      <w:bookmarkStart w:id="474" w:name="mv2_h_0103"/>
      <w:pPr>
        <w:pStyle w:val="Heading2"/>
        <w:keepNext/>
        <w:widowControl/>
      </w:pPr>
      <w:r>
        <w:t xml:space="preserve">8.9 ProcessHub</w:t>
      </w:r>
      <w:bookmarkEnd w:id="474"/>
    </w:p>
    <w:p>
      <w:pPr>
        <w:pStyle w:val="FirstParagraph"/>
        <w:widowControl/>
        <w:jc w:val="left"/>
      </w:pPr>
      <w:r>
        <w:t>ProcessHub provides process-level coordination or shared process abstractions across logistics capabilities.</w:t>
      </w:r>
    </w:p>
    <w:p>
      <w:bookmarkStart w:id="475" w:name="mv2_h_0104"/>
      <w:pPr>
        <w:pStyle w:val="Heading2"/>
        <w:keepNext/>
        <w:widowControl/>
      </w:pPr>
      <w:r>
        <w:t xml:space="preserve">8.10 CrossLogistics</w:t>
      </w:r>
      <w:bookmarkEnd w:id="475"/>
    </w:p>
    <w:p>
      <w:pPr>
        <w:pStyle w:val="FirstParagraph"/>
        <w:widowControl/>
        <w:jc w:val="left"/>
      </w:pPr>
      <w:r>
        <w:t>CrossLogistics represents capabilities and contracts shared across logistics contexts.</w:t>
      </w:r>
    </w:p>
    <w:p>
      <w:bookmarkStart w:id="476" w:name="mv2_h_0105"/>
      <w:pPr>
        <w:pStyle w:val="Heading2"/>
        <w:keepNext/>
        <w:widowControl/>
      </w:pPr>
      <w:r>
        <w:t xml:space="preserve">8.11 Device</w:t>
      </w:r>
      <w:bookmarkEnd w:id="476"/>
    </w:p>
    <w:p>
      <w:bookmarkStart w:id="477" w:name="mv2_h_0106"/>
      <w:pPr>
        <w:pStyle w:val="Heading3"/>
        <w:keepNext/>
        <w:widowControl/>
      </w:pPr>
      <w:r>
        <w:t xml:space="preserve">8.11.1 Responsibility</w:t>
      </w:r>
      <w:bookmarkEnd w:id="477"/>
    </w:p>
    <w:p>
      <w:pPr>
        <w:pStyle w:val="FirstParagraph"/>
        <w:widowControl/>
        <w:jc w:val="left"/>
      </w:pPr>
      <w:r>
        <w:t xml:space="preserve">The Device module handles device records, pairing, verification, device credentials, and potentially device-specific shipment operations. Public pairing and trusted device calls are separate stages of the lifecycle.</w:t>
      </w:r>
    </w:p>
    <w:p>
      <w:bookmarkStart w:id="479" w:name="mv2_h_0108"/>
      <w:pPr>
        <w:pStyle w:val="Heading2"/>
        <w:keepNext/>
        <w:widowControl/>
      </w:pPr>
      <w:r>
        <w:t xml:space="preserve">8.12 SupplierServiceManagement</w:t>
      </w:r>
      <w:bookmarkEnd w:id="479"/>
    </w:p>
    <w:p>
      <w:pPr>
        <w:pStyle w:val="FirstParagraph"/>
        <w:widowControl/>
        <w:jc w:val="left"/>
      </w:pPr>
      <w:r>
        <w:t>Supplier management owns supplier profiles and supplier-facing logistics information. Supplier codes, contact details, contracts, and operator associations are distinct from shipment snapshots, while a shipment can preserve supplier data effective at creation.</w:t>
      </w:r>
    </w:p>
    <w:p>
      <w:bookmarkStart w:id="480" w:name="mv2_h_0109"/>
      <w:pPr>
        <w:pStyle w:val="Heading2"/>
        <w:keepNext/>
        <w:widowControl/>
      </w:pPr>
      <w:r>
        <w:t xml:space="preserve">8.13 TransportAssets</w:t>
      </w:r>
      <w:bookmarkEnd w:id="480"/>
    </w:p>
    <w:p>
      <w:pPr>
        <w:pStyle w:val="FirstParagraph"/>
        <w:widowControl/>
        <w:jc w:val="left"/>
      </w:pPr>
      <w:r>
        <w:t>TransportAssets manages transport resources such as vehicles, trailers, or related equipment. Its domain concerns include availability, assignment, capacity, maintenance state, operator ownership, and capacity units.</w:t>
      </w:r>
    </w:p>
    <w:p>
      <w:bookmarkStart w:id="481" w:name="mv2_h_0110"/>
      <w:pPr>
        <w:pStyle w:val="Heading2"/>
        <w:keepNext/>
        <w:widowControl/>
      </w:pPr>
      <w:r>
        <w:t xml:space="preserve">8.14 DriverHub</w:t>
      </w:r>
      <w:bookmarkEnd w:id="481"/>
    </w:p>
    <w:p>
      <w:pPr>
        <w:pStyle w:val="FirstParagraph"/>
        <w:widowControl/>
        <w:jc w:val="left"/>
      </w:pPr>
      <w:r>
        <w:t>DriverHub represents driver-related data and workflows. Driver identity is related to, but distinct from, a user account and includes licenses, assignments, availability, external identifiers, and personal data.</w:t>
      </w:r>
    </w:p>
    <w:p>
      <w:bookmarkStart w:id="482" w:name="mv2_h_0111"/>
      <w:pPr>
        <w:pStyle w:val="Heading2"/>
        <w:keepNext/>
        <w:widowControl/>
      </w:pPr>
      <w:r>
        <w:t xml:space="preserve">8.15 PathFinder</w:t>
      </w:r>
      <w:bookmarkEnd w:id="482"/>
    </w:p>
    <w:p>
      <w:pPr>
        <w:pStyle w:val="FirstParagraph"/>
        <w:widowControl/>
        <w:jc w:val="left"/>
      </w:pPr>
      <w:r>
        <w:t>PathFinder provides path-selection logic based on geocoding, destination, route, transport constraints, and operator-specific provider configuration.</w:t>
      </w:r>
    </w:p>
    <w:p>
      <w:bookmarkStart w:id="483" w:name="mv2_h_0112"/>
      <w:pPr>
        <w:pStyle w:val="Heading2"/>
        <w:keepNext/>
        <w:widowControl/>
      </w:pPr>
      <w:r>
        <w:t xml:space="preserve">8.16 DestinationDetermination</w:t>
      </w:r>
      <w:bookmarkEnd w:id="483"/>
    </w:p>
    <w:p>
      <w:pPr>
        <w:pStyle w:val="FirstParagraph"/>
        <w:widowControl/>
        <w:jc w:val="left"/>
      </w:pPr>
      <w:r>
        <w:t xml:space="preserve">DestinationDetermination resolves the operational destination for a shipment or delivery. It may combine address data, organization structure, department location, geocoding, or business routing rules. Address normalization and geocoding are separate concerns: a normalized address can exist without a successful coordinate lookup.</w:t>
      </w:r>
    </w:p>
    <w:p>
      <w:bookmarkStart w:id="484" w:name="mv2_h_0113"/>
      <w:pPr>
        <w:pStyle w:val="Heading2"/>
        <w:keepNext/>
        <w:widowControl/>
      </w:pPr>
      <w:r>
        <w:t xml:space="preserve">8.17 GeocodingService</w:t>
      </w:r>
      <w:bookmarkEnd w:id="484"/>
    </w:p>
    <w:p>
      <w:bookmarkStart w:id="485" w:name="mv2_h_0114"/>
      <w:pPr>
        <w:pStyle w:val="Heading3"/>
        <w:keepNext/>
        <w:widowControl/>
      </w:pPr>
      <w:r>
        <w:t xml:space="preserve">8.17.1 Responsibility</w:t>
      </w:r>
      <w:bookmarkEnd w:id="485"/>
    </w:p>
    <w:p>
      <w:pPr>
        <w:pStyle w:val="FirstParagraph"/>
        <w:widowControl/>
        <w:jc w:val="left"/>
      </w:pPr>
      <w:r>
        <w:t xml:space="preserve">The geocoding service abstracts provider-specific coordinate and address lookups. The current release adds per-operator encrypted credentials, which implies provider selection and secret resolution at request time.</w:t>
      </w:r>
    </w:p>
    <w:p>
      <w:bookmarkStart w:id="487" w:name="mv2_h_0116"/>
      <w:pPr>
        <w:pStyle w:val="Heading2"/>
        <w:keepNext/>
        <w:widowControl/>
      </w:pPr>
      <w:r>
        <w:t xml:space="preserve">8.18 DocumentManager</w:t>
      </w:r>
      <w:bookmarkEnd w:id="487"/>
    </w:p>
    <w:p>
      <w:pPr>
        <w:pStyle w:val="FirstParagraph"/>
        <w:widowControl/>
        <w:jc w:val="left"/>
      </w:pPr>
      <w:r>
        <w:t>DocumentManager handles business-document metadata, binary content, generated templates, and external storage references.</w:t>
      </w:r>
    </w:p>
    <w:p>
      <w:bookmarkStart w:id="488" w:name="mv2_h_0117"/>
      <w:pPr>
        <w:pStyle w:val="Heading2"/>
        <w:keepNext/>
        <w:widowControl/>
      </w:pPr>
      <w:r>
        <w:t xml:space="preserve">8.19 MessageProvider</w:t>
      </w:r>
      <w:bookmarkEnd w:id="488"/>
    </w:p>
    <w:p>
      <w:pPr>
        <w:pStyle w:val="FirstParagraph"/>
        <w:widowControl/>
        <w:jc w:val="left"/>
      </w:pPr>
      <w:r>
        <w:t>MessageProvider centralizes message keys, templates, localization resources, and language fallback behavior used by other modules.</w:t>
      </w:r>
    </w:p>
    <w:p>
      <w:bookmarkStart w:id="489" w:name="mv2_h_0118"/>
      <w:pPr>
        <w:pStyle w:val="Heading2"/>
        <w:keepNext/>
        <w:widowControl/>
      </w:pPr>
      <w:r>
        <w:t xml:space="preserve">8.20 MailService</w:t>
      </w:r>
      <w:bookmarkEnd w:id="489"/>
    </w:p>
    <w:p>
      <w:pPr>
        <w:pStyle w:val="FirstParagraph"/>
        <w:widowControl/>
        <w:jc w:val="left"/>
      </w:pPr>
      <w:r>
        <w:t>MailService sends outbound mail using SMTP configuration and templates from MessageProvider. The surrounding model includes template, locale, business-reference, delivery-attempt, provider-response, and terminal-status data.</w:t>
      </w:r>
    </w:p>
    <w:p>
      <w:bookmarkStart w:id="490" w:name="mv2_h_0119"/>
      <w:pPr>
        <w:pStyle w:val="Heading2"/>
        <w:keepNext/>
        <w:widowControl/>
      </w:pPr>
      <w:r>
        <w:t xml:space="preserve">8.21 Common</w:t>
      </w:r>
      <w:bookmarkEnd w:id="490"/>
    </w:p>
    <w:p>
      <w:pPr>
        <w:pStyle w:val="FirstParagraph"/>
        <w:widowControl/>
        <w:jc w:val="left"/>
      </w:pPr>
      <w:r>
        <w:t>Common contains shared abstractions such as technical value objects, correlation abstractions, and base event metadata used by multiple modules.</w:t>
      </w:r>
    </w:p>
    <w:p>
      <w:bookmarkStart w:id="491" w:name="mv2_h_0120"/>
      <w:pPr>
        <w:pStyle w:val="Heading2"/>
        <w:keepNext/>
        <w:widowControl/>
      </w:pPr>
      <w:r>
        <w:t xml:space="preserve">8.22 Utility</w:t>
      </w:r>
      <w:bookmarkEnd w:id="491"/>
    </w:p>
    <w:p>
      <w:pPr>
        <w:pStyle w:val="FirstParagraph"/>
        <w:widowControl/>
        <w:jc w:val="left"/>
      </w:pPr>
      <w:r>
        <w:t>Utility provides implementation helpers separate from domain concepts and shared business contracts.</w:t>
      </w:r>
    </w:p>
    <w:p>
      <w:bookmarkStart w:id="492" w:name="mv2_h_0121"/>
      <w:pPr>
        <w:pStyle w:val="Heading2"/>
        <w:keepNext/>
        <w:widowControl/>
      </w:pPr>
      <w:r>
        <w:t xml:space="preserve">8.23 AssetConverter</w:t>
      </w:r>
      <w:bookmarkEnd w:id="492"/>
    </w:p>
    <w:p>
      <w:pPr>
        <w:pStyle w:val="FirstParagraph"/>
        <w:widowControl/>
        <w:jc w:val="left"/>
      </w:pPr>
      <w:r>
        <w:t>AssetConverter supports conversion between asset formats or representations and handles source type, target type, size, and encoding boundaries.</w:t>
      </w:r>
    </w:p>
    <w:p>
      <w:bookmarkStart w:id="493" w:name="mv2_h_0122"/>
      <w:pPr>
        <w:pStyle w:val="Heading2"/>
        <w:keepNext/>
        <w:widowControl/>
      </w:pPr>
      <w:r>
        <w:t xml:space="preserve">8.24 ExceptionHandler</w:t>
      </w:r>
      <w:bookmarkEnd w:id="493"/>
    </w:p>
    <w:p>
      <w:pPr>
        <w:pStyle w:val="FirstParagraph"/>
        <w:widowControl/>
        <w:jc w:val="left"/>
      </w:pPr>
      <w:r>
        <w:t>The ExceptionHandler module centralizes mapping from exceptions to HTTP responses and defines the shared error-envelope structure.</w:t>
      </w:r>
    </w:p>
    <w:p>
      <w:pPr>
        <w:pStyle w:val="BodyText"/>
        <w:widowControl/>
        <w:jc w:val="left"/>
      </w:pPr>
      <w:r>
        <w:t>The error model distinguishes domain errors from unexpected failures and associates server-side diagnostics with correlation context.</w:t>
      </w:r>
    </w:p>
    <w:p>
      <w:bookmarkStart w:id="494" w:name="mv2_h_0123"/>
      <w:pPr>
        <w:pStyle w:val="Heading2"/>
        <w:keepNext/>
        <w:widowControl/>
      </w:pPr>
      <w:r>
        <w:t xml:space="preserve">8.25 ManagerTools</w:t>
      </w:r>
      <w:bookmarkEnd w:id="494"/>
    </w:p>
    <w:p>
      <w:pPr>
        <w:pStyle w:val="FirstParagraph"/>
        <w:widowControl/>
        <w:jc w:val="left"/>
      </w:pPr>
      <w:r>
        <w:t>ManagerTools contains project-specific operational and development utilities.</w:t>
      </w:r>
    </w:p>
    <w:p>
      <w:bookmarkStart w:id="495" w:name="mv2_h_0124"/>
      <w:pPr>
        <w:pStyle w:val="Heading2"/>
        <w:keepNext/>
        <w:widowControl/>
      </w:pPr>
      <w:r>
        <w:t xml:space="preserve">8.26 ArchitectureTest</w:t>
      </w:r>
      <w:bookmarkEnd w:id="495"/>
    </w:p>
    <w:p>
      <w:pPr>
        <w:pStyle w:val="FirstParagraph"/>
        <w:widowControl/>
        <w:jc w:val="left"/>
      </w:pPr>
      <w:r>
        <w:t>ArchitectureTest is a dedicated module for dependency, package, cycle, and layering constraints.</w:t>
      </w:r>
    </w:p>
    <w:p>
      <w:bookmarkStart w:id="496" w:name="mv2_h_0125"/>
      <w:pPr>
        <w:pStyle w:val="Heading2"/>
        <w:keepNext/>
        <w:widowControl/>
      </w:pPr>
      <w:r>
        <w:t xml:space="preserve">8.27 E2E</w:t>
      </w:r>
      <w:bookmarkEnd w:id="496"/>
    </w:p>
    <w:p>
      <w:pPr>
        <w:pStyle w:val="FirstParagraph"/>
        <w:widowControl/>
        <w:jc w:val="left"/>
      </w:pPr>
      <w:r>
        <w:t>The E2E module validates behavior across module boundaries and infrastructure, including authentication, CSRF, operator isolation, database migration, Kafka propagation, gateway routing, and shipment workflows.</w:t>
      </w:r>
    </w:p>
    <w:p>
      <w:bookmarkStart w:id="497" w:name="mv2_h_0126"/>
      <w:pPr>
        <w:pStyle w:val="Heading2"/>
        <w:keepNext/>
        <w:widowControl/>
      </w:pPr>
      <w:r>
        <w:t xml:space="preserve">8.28 Gateway and EurekaServer</w:t>
      </w:r>
      <w:bookmarkEnd w:id="497"/>
    </w:p>
    <w:p>
      <w:pPr>
        <w:pStyle w:val="FirstParagraph"/>
        <w:widowControl/>
        <w:jc w:val="left"/>
      </w:pPr>
      <w:r>
        <w:t>Gateway and EurekaServer form the service-routing substrate. Gateway failure can make downstream services unavailable, while registry failure can disrupt routing and Feign discovery.</w:t>
      </w:r>
    </w:p>
    <w:p>
      <w:bookmarkStart w:id="498" w:name="mv2_h_0127"/>
      <w:pPr>
        <w:pStyle w:val="Heading2"/>
        <w:keepNext/>
        <w:widowControl/>
      </w:pPr>
      <w:r>
        <w:t xml:space="preserve">8.29 Standalone Service Directories</w:t>
      </w:r>
      <w:bookmarkEnd w:id="498"/>
    </w:p>
    <w:p>
      <w:bookmarkStart w:id="499" w:name="mv2_h_0128"/>
      <w:pPr>
        <w:pStyle w:val="Heading3"/>
        <w:keepNext/>
        <w:widowControl/>
      </w:pPr>
      <w:r>
        <w:t xml:space="preserve">8.29.1 SoftwareConfiguration</w:t>
      </w:r>
      <w:bookmarkEnd w:id="499"/>
    </w:p>
    <w:p>
      <w:pPr>
        <w:pStyle w:val="FirstParagraph"/>
        <w:widowControl/>
        <w:jc w:val="left"/>
      </w:pPr>
      <w:r>
        <w:t xml:space="preserve">This service provides configuration capabilities and is routed by the gateway at port 8081 in the default topology. The current release mentions operator configuration creation events, suggesting coordination between configuration provisioning and the main application.</w:t>
      </w:r>
    </w:p>
    <w:p>
      <w:bookmarkStart w:id="500" w:name="mv2_h_0129"/>
      <w:pPr>
        <w:pStyle w:val="Heading3"/>
        <w:keepNext/>
        <w:widowControl/>
      </w:pPr>
      <w:r>
        <w:t xml:space="preserve">8.29.2 ReturningTrackManager</w:t>
      </w:r>
      <w:bookmarkEnd w:id="500"/>
    </w:p>
    <w:p>
      <w:pPr>
        <w:pStyle w:val="FirstParagraph"/>
        <w:widowControl/>
        <w:jc w:val="left"/>
      </w:pPr>
      <w:r>
        <w:t>This service manages return tracking on default port 8070. Compose configuration creates a dedicated relational database, and the reviewed configuration includes a direct JPA schema-update setting.</w:t>
      </w:r>
    </w:p>
    <w:p>
      <w:bookmarkStart w:id="501" w:name="mv2_h_0130"/>
      <w:pPr>
        <w:pStyle w:val="Heading3"/>
        <w:keepNext/>
        <w:widowControl/>
      </w:pPr>
      <w:r>
        <w:t xml:space="preserve">8.29.3 RouteTrackerFlow</w:t>
      </w:r>
      <w:bookmarkEnd w:id="501"/>
    </w:p>
    <w:p>
      <w:pPr>
        <w:pStyle w:val="FirstParagraph"/>
        <w:widowControl/>
        <w:jc w:val="left"/>
      </w:pPr>
      <w:r>
        <w:t>This service manages route events and history at port 8082 and may use MongoDB and Kafka. The current release adds JWT/current-user integration, Kafka processing, and history capabilities.</w:t>
      </w:r>
    </w:p>
    <w:p>
      <w:bookmarkStart w:id="502" w:name="mv2_h_0131"/>
      <w:pPr>
        <w:pStyle w:val="Heading3"/>
        <w:keepNext/>
        <w:widowControl/>
      </w:pPr>
      <w:r>
        <w:t xml:space="preserve">8.29.4 PalletHandlingManager and DeliveryProtection</w:t>
      </w:r>
      <w:bookmarkEnd w:id="502"/>
    </w:p>
    <w:p>
      <w:pPr>
        <w:pStyle w:val="FirstParagraph"/>
        <w:widowControl/>
        <w:jc w:val="left"/>
      </w:pPr>
      <w:r>
        <w:t>These services are represented in gateway routes and repository directories but are not part of the active root reactor.</w:t>
      </w:r>
    </w:p>
    <w:p>
      <w:bookmarkStart w:id="504" w:name="mv2_h_0133"/>
      <w:pPr>
        <w:pStyle w:val="Heading1"/>
        <w:keepNext/>
        <w:widowControl/>
      </w:pPr>
      <w:r>
        <w:t xml:space="preserve">9. Persistence and Database Evolution</w:t>
      </w:r>
      <w:bookmarkEnd w:id="504"/>
    </w:p>
    <w:p>
      <w:bookmarkStart w:id="505" w:name="mv2_h_0134"/>
      <w:pPr>
        <w:pStyle w:val="Heading2"/>
        <w:keepNext/>
        <w:widowControl/>
      </w:pPr>
      <w:r>
        <w:t xml:space="preserve">9.1 Main Persistence Stack</w:t>
      </w:r>
      <w:bookmarkEnd w:id="505"/>
    </w:p>
    <w:p>
      <w:pPr>
        <w:pStyle w:val="FirstParagraph"/>
        <w:widowControl/>
        <w:jc w:val="left"/>
      </w:pPr>
      <w:r>
        <w:t>The main application uses Spring Data/JPA with a relational database and Liquibase for schema migration. Development defaults target MySQL, while H2 and PostgreSQL dependencies support selected test or alternate use cases.</w:t>
      </w:r>
    </w:p>
    <w:p>
      <w:bookmarkStart w:id="506" w:name="mv2_h_0135"/>
      <w:pPr>
        <w:pStyle w:val="Heading2"/>
        <w:keepNext/>
        <w:widowControl/>
      </w:pPr>
      <w:r>
        <w:t xml:space="preserve">9.2 Schema Ownership</w:t>
      </w:r>
      <w:bookmarkEnd w:id="506"/>
    </w:p>
    <w:p>
      <w:pPr>
        <w:pStyle w:val="FirstParagraph"/>
        <w:widowControl/>
        <w:jc w:val="left"/>
      </w:pPr>
      <w:r>
        <w:t>The main application uses a shared physical database while JPA mappings and migration files are distributed across domain modules.</w:t>
      </w:r>
    </w:p>
    <w:p>
      <w:bookmarkStart w:id="507" w:name="mv2_h_0136"/>
      <w:pPr>
        <w:pStyle w:val="Heading2"/>
        <w:keepNext/>
        <w:widowControl/>
      </w:pPr>
      <w:r>
        <w:t xml:space="preserve">9.3 Liquibase Changelog Strategy</w:t>
      </w:r>
      <w:bookmarkEnd w:id="507"/>
    </w:p>
    <w:p>
      <w:pPr>
        <w:pStyle w:val="FirstParagraph"/>
        <w:widowControl/>
        <w:jc w:val="left"/>
      </w:pPr>
      <w:r>
        <w:t>Liquibase is integrated with the main application and loads relational schema changes from the application resources.</w:t>
      </w:r>
    </w:p>
    <w:p>
      <w:bookmarkStart w:id="508" w:name="mv2_h_0137"/>
      <w:pPr>
        <w:pStyle w:val="Heading2"/>
        <w:keepNext/>
        <w:widowControl/>
      </w:pPr>
      <w:r>
        <w:t xml:space="preserve">9.4 Operator Scoping in the Database</w:t>
      </w:r>
      <w:bookmarkEnd w:id="508"/>
    </w:p>
    <w:p>
      <w:pPr>
        <w:pStyle w:val="FirstParagraph"/>
        <w:widowControl/>
        <w:jc w:val="left"/>
      </w:pPr>
      <w:r>
        <w:t>The current release introduces operator-aware persistence and query patterns for tenant-owned data.</w:t>
      </w:r>
    </w:p>
    <w:p>
      <w:bookmarkStart w:id="511" w:name="mv2_h_0140"/>
      <w:pPr>
        <w:pStyle w:val="Heading2"/>
        <w:keepNext/>
        <w:widowControl/>
      </w:pPr>
      <w:r>
        <w:t xml:space="preserve">9.5 Read Models</w:t>
      </w:r>
      <w:bookmarkEnd w:id="511"/>
    </w:p>
    <w:p>
      <w:pPr>
        <w:pStyle w:val="FirstParagraph"/>
        <w:widowControl/>
        <w:jc w:val="left"/>
      </w:pPr>
      <w:r>
        <w:t>The current release includes synchronized read models for user, role, department, shipment, route, and operator-related data.</w:t>
      </w:r>
    </w:p>
    <w:p>
      <w:bookmarkStart w:id="516" w:name="mv2_h_0145"/>
      <w:pPr>
        <w:pStyle w:val="Heading1"/>
        <w:keepNext/>
        <w:widowControl/>
      </w:pPr>
      <w:r>
        <w:t xml:space="preserve">10. Messaging and External Integrations</w:t>
      </w:r>
      <w:bookmarkEnd w:id="516"/>
    </w:p>
    <w:p>
      <w:bookmarkStart w:id="517" w:name="mv2_h_0146"/>
      <w:pPr>
        <w:pStyle w:val="Heading2"/>
        <w:keepNext/>
        <w:widowControl/>
      </w:pPr>
      <w:r>
        <w:t xml:space="preserve">10.1 Messaging Architecture</w:t>
      </w:r>
      <w:bookmarkEnd w:id="517"/>
    </w:p>
    <w:p>
      <w:pPr>
        <w:pStyle w:val="FirstParagraph"/>
        <w:widowControl/>
        <w:jc w:val="left"/>
      </w:pPr>
      <w:r>
        <w:t xml:space="preserve">Kafka supports asynchronous domain events, read-model synchronization, operator configuration, return processing, and route-related workflows. Events decouple producers from consumers, but they also create eventual consistency and operational responsibilities.</w:t>
      </w:r>
    </w:p>
    <w:p>
      <w:pPr>
        <w:pStyle w:val="CaptionedFigure"/>
        <w:keepNext/>
        <w:widowControl/>
        <w:jc w:val="center"/>
      </w:pPr>
      <w:r>
        <w:drawing>
          <wp:inline>
            <wp:extent cx="4800600" cy="1959768"/>
            <wp:effectExtent b="0" l="0" r="0" t="0"/>
            <wp:docPr descr="Representative event flow" title="" id="174" name="Picture"/>
            <a:graphic>
              <a:graphicData uri="http://schemas.openxmlformats.org/drawingml/2006/picture">
                <pic:pic>
                  <pic:nvPicPr>
                    <pic:cNvPr descr="assets/event_flow.png" id="175" name="Picture"/>
                    <pic:cNvPicPr>
                      <a:picLocks noChangeArrowheads="1" noChangeAspect="1"/>
                    </pic:cNvPicPr>
                  </pic:nvPicPr>
                  <pic:blipFill>
                    <a:blip r:embed="rId173"/>
                    <a:stretch>
                      <a:fillRect/>
                    </a:stretch>
                  </pic:blipFill>
                  <pic:spPr bwMode="auto">
                    <a:xfrm>
                      <a:off x="0" y="0"/>
                      <a:ext cx="4800600" cy="1959768"/>
                    </a:xfrm>
                    <a:prstGeom prst="rect">
                      <a:avLst/>
                    </a:prstGeom>
                    <a:noFill/>
                    <a:ln w="9525">
                      <a:noFill/>
                      <a:headEnd/>
                      <a:tailEnd/>
                    </a:ln>
                  </pic:spPr>
                </pic:pic>
              </a:graphicData>
            </a:graphic>
          </wp:inline>
        </w:drawing>
      </w:r>
    </w:p>
    <w:p>
      <w:pPr>
        <w:pStyle w:val="ImageCaption"/>
        <w:widowControl/>
        <w:jc w:val="center"/>
      </w:pPr>
      <w:r>
        <w:rPr>
          <w:rFonts w:ascii="Carlito" w:hAnsi="Carlito" w:eastAsia="Carlito"/>
          <w:i/>
          <w:color w:val="44515C"/>
          <w:sz w:val="17"/>
        </w:rPr>
        <w:t>Figure 4. Representative event flow</w:t>
      </w:r>
    </w:p>
    <w:p>
      <w:bookmarkStart w:id="519" w:name="mv2_h_0148"/>
      <w:pPr>
        <w:pStyle w:val="Heading2"/>
        <w:keepNext/>
        <w:widowControl/>
        <w:spacing w:after="100"/>
      </w:pPr>
      <w:r>
        <w:t xml:space="preserve">10.2 Topic Catalog</w:t>
      </w:r>
      <w:bookmarkEnd w:id="519"/>
    </w:p>
    <w:tbl>
      <w:tblPr>
        <w:tblStyle w:val="Table"/>
        <w:tblW w:type="pct" w:w="5000"/>
        <w:jc w:val="center"/>
        <w:tblLayout w:type="fixed"/>
        <w:tblLook w:firstRow="1" w:lastRow="0" w:firstColumn="0" w:lastColumn="0" w:noHBand="0" w:noVBand="0" w:val="0020"/>
        <w:tblBorders>
          <w:top w:val="single" w:sz="4" w:space="0" w:color="D7E0E6"/>
          <w:left w:val="single" w:sz="4" w:space="0" w:color="D7E0E6"/>
          <w:bottom w:val="single" w:sz="4" w:space="0" w:color="D7E0E6"/>
          <w:right w:val="single" w:sz="4" w:space="0" w:color="D7E0E6"/>
          <w:insideH w:val="single" w:sz="4" w:space="0" w:color="D7E0E6"/>
          <w:insideV w:val="single" w:sz="4" w:space="0" w:color="D7E0E6"/>
        </w:tblBorders>
      </w:tblPr>
      <w:tblGrid>
        <w:gridCol w:w="3300"/>
        <w:gridCol w:w="6578"/>
      </w:tblGrid>
      <w:tr>
        <w:trPr>
          <w:tblHeader w:val="true"/>
          <w:cantSplit/>
        </w:trPr>
        <w:tc>
          <w:tcPr>
            <w:tcW w:type="dxa" w:w="3300"/>
            <w:tcMar>
              <w:top w:w="85" w:type="dxa"/>
              <w:start w:w="100" w:type="dxa"/>
              <w:bottom w:w="85" w:type="dxa"/>
              <w:end w:w="100" w:type="dxa"/>
            </w:tcMar>
            <w:vAlign w:val="center"/>
            <w:shd w:fill="17324D" w:val="clear"/>
          </w:tcPr>
          <w:p>
            <w:pPr>
              <w:pStyle w:val="Compact"/>
              <w:widowControl/>
              <w:spacing w:before="0" w:after="30" w:line="240" w:lineRule="auto"/>
              <w:jc w:val="left"/>
            </w:pPr>
            <w:r>
              <w:rPr>
                <w:rFonts w:ascii="Noto Sans" w:hAnsi="Noto Sans" w:eastAsia="Noto Sans"/>
                <w:b/>
                <w:color w:val="FFFFFF"/>
                <w:sz w:val="17"/>
              </w:rPr>
              <w:t xml:space="preserve">Topic or logical stream</w:t>
            </w:r>
          </w:p>
        </w:tc>
        <w:tc>
          <w:tcPr>
            <w:tcW w:type="dxa" w:w="6578"/>
            <w:tcMar>
              <w:top w:w="85" w:type="dxa"/>
              <w:start w:w="100" w:type="dxa"/>
              <w:bottom w:w="85" w:type="dxa"/>
              <w:end w:w="100" w:type="dxa"/>
            </w:tcMar>
            <w:vAlign w:val="center"/>
            <w:shd w:fill="17324D" w:val="clear"/>
          </w:tcPr>
          <w:p>
            <w:pPr>
              <w:pStyle w:val="Compact"/>
              <w:widowControl/>
              <w:spacing w:before="0" w:after="30" w:line="240" w:lineRule="auto"/>
              <w:jc w:val="left"/>
            </w:pPr>
            <w:r>
              <w:rPr>
                <w:rFonts w:ascii="Noto Sans" w:hAnsi="Noto Sans" w:eastAsia="Noto Sans"/>
                <w:b/>
                <w:color w:val="FFFFFF"/>
                <w:sz w:val="17"/>
              </w:rPr>
              <w:t xml:space="preserve">Purpose</w:t>
            </w:r>
          </w:p>
        </w:tc>
      </w:tr>
      <w:tr>
        <w:trPr>
          <w:cantSplit/>
        </w:trPr>
        <w:tc>
          <w:tcPr>
            <w:tcW w:type="dxa" w:w="3300"/>
            <w:tcMar>
              <w:top w:w="85" w:type="dxa"/>
              <w:start w:w="100" w:type="dxa"/>
              <w:bottom w:w="85" w:type="dxa"/>
              <w:end w:w="100" w:type="dxa"/>
            </w:tcMar>
            <w:vAlign w:val="center"/>
            <w:shd w:fill="FFFFFF" w:val="clear"/>
          </w:tcPr>
          <w:p>
            <w:pPr>
              <w:pStyle w:val="Compact"/>
              <w:widowControl/>
              <w:spacing w:before="0" w:after="30" w:line="240" w:lineRule="auto"/>
              <w:jc w:val="left"/>
            </w:pPr>
            <w:r>
              <w:rPr>
                <w:rStyle w:val="VerbatimChar"/>
                <w:rFonts w:ascii="Carlito" w:hAnsi="Carlito" w:eastAsia="Carlito"/>
                <w:color w:val="44515C"/>
                <w:sz w:val="17"/>
              </w:rPr>
              <w:t xml:space="preserve">shipment.events</w:t>
            </w:r>
          </w:p>
        </w:tc>
        <w:tc>
          <w:tcPr>
            <w:tcW w:type="dxa" w:w="657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General shipment lifecycle events.</w:t>
            </w:r>
          </w:p>
        </w:tc>
      </w:tr>
      <w:tr>
        <w:trPr>
          <w:cantSplit/>
        </w:trPr>
        <w:tc>
          <w:tcPr>
            <w:tcW w:type="dxa" w:w="3300"/>
            <w:tcMar>
              <w:top w:w="85" w:type="dxa"/>
              <w:start w:w="100" w:type="dxa"/>
              <w:bottom w:w="85" w:type="dxa"/>
              <w:end w:w="100" w:type="dxa"/>
            </w:tcMar>
            <w:vAlign w:val="center"/>
            <w:shd w:fill="FFFFFF" w:val="clear"/>
          </w:tcPr>
          <w:p>
            <w:pPr>
              <w:pStyle w:val="Compact"/>
              <w:widowControl/>
              <w:spacing w:before="0" w:after="30" w:line="240" w:lineRule="auto"/>
              <w:jc w:val="left"/>
            </w:pPr>
            <w:r>
              <w:rPr>
                <w:rStyle w:val="VerbatimChar"/>
                <w:rFonts w:ascii="Carlito" w:hAnsi="Carlito" w:eastAsia="Carlito"/>
                <w:color w:val="44515C"/>
                <w:sz w:val="17"/>
              </w:rPr>
              <w:t xml:space="preserve">shipment.return.created</w:t>
            </w:r>
          </w:p>
        </w:tc>
        <w:tc>
          <w:tcPr>
            <w:tcW w:type="dxa" w:w="657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Initiate or inform return processing.</w:t>
            </w:r>
          </w:p>
        </w:tc>
      </w:tr>
      <w:tr>
        <w:trPr>
          <w:cantSplit/>
        </w:trPr>
        <w:tc>
          <w:tcPr>
            <w:tcW w:type="dxa" w:w="3300"/>
            <w:tcMar>
              <w:top w:w="85" w:type="dxa"/>
              <w:start w:w="100" w:type="dxa"/>
              <w:bottom w:w="85" w:type="dxa"/>
              <w:end w:w="100" w:type="dxa"/>
            </w:tcMar>
            <w:vAlign w:val="center"/>
            <w:shd w:fill="FFFFFF" w:val="clear"/>
          </w:tcPr>
          <w:p>
            <w:pPr>
              <w:pStyle w:val="Compact"/>
              <w:widowControl/>
              <w:spacing w:before="0" w:after="30" w:line="240" w:lineRule="auto"/>
              <w:jc w:val="left"/>
            </w:pPr>
            <w:r>
              <w:rPr>
                <w:rStyle w:val="VerbatimChar"/>
                <w:rFonts w:ascii="Carlito" w:hAnsi="Carlito" w:eastAsia="Carlito"/>
                <w:color w:val="44515C"/>
                <w:sz w:val="17"/>
              </w:rPr>
              <w:t xml:space="preserve">shipment.read-model.sync</w:t>
            </w:r>
          </w:p>
        </w:tc>
        <w:tc>
          <w:tcPr>
            <w:tcW w:type="dxa" w:w="657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Synchronize shipment projections.</w:t>
            </w:r>
          </w:p>
        </w:tc>
      </w:tr>
      <w:tr>
        <w:trPr>
          <w:cantSplit/>
        </w:trPr>
        <w:tc>
          <w:tcPr>
            <w:tcW w:type="dxa" w:w="3300"/>
            <w:tcMar>
              <w:top w:w="85" w:type="dxa"/>
              <w:start w:w="100" w:type="dxa"/>
              <w:bottom w:w="85" w:type="dxa"/>
              <w:end w:w="100" w:type="dxa"/>
            </w:tcMar>
            <w:vAlign w:val="center"/>
            <w:shd w:fill="FFFFFF" w:val="clear"/>
          </w:tcPr>
          <w:p>
            <w:pPr>
              <w:pStyle w:val="Compact"/>
              <w:widowControl/>
              <w:spacing w:before="0" w:after="30" w:line="240" w:lineRule="auto"/>
              <w:jc w:val="left"/>
            </w:pPr>
            <w:r>
              <w:rPr>
                <w:rStyle w:val="VerbatimChar"/>
                <w:rFonts w:ascii="Carlito" w:hAnsi="Carlito" w:eastAsia="Carlito"/>
                <w:color w:val="44515C"/>
                <w:sz w:val="17"/>
              </w:rPr>
              <w:t xml:space="preserve">operator.configuration.create</w:t>
            </w:r>
          </w:p>
        </w:tc>
        <w:tc>
          <w:tcPr>
            <w:tcW w:type="dxa" w:w="657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Provision or synchronize operator configuration.</w:t>
            </w:r>
          </w:p>
        </w:tc>
      </w:tr>
      <w:tr>
        <w:trPr>
          <w:cantSplit/>
        </w:trPr>
        <w:tc>
          <w:tcPr>
            <w:tcW w:type="dxa" w:w="3300"/>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Route/history events</w:t>
            </w:r>
          </w:p>
        </w:tc>
        <w:tc>
          <w:tcPr>
            <w:tcW w:type="dxa" w:w="657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Feed RouteTracker and history projections.</w:t>
            </w:r>
          </w:p>
        </w:tc>
      </w:tr>
    </w:tbl>
    <w:p>
      <w:pPr>
        <w:pStyle w:val="BodyText"/>
        <w:widowControl/>
        <w:jc w:val="left"/>
        <w:spacing w:before="90"/>
      </w:pPr>
      <w:r>
        <w:t>Topic names are configurable per environment.</w:t>
      </w:r>
    </w:p>
    <w:p>
      <w:bookmarkStart w:id="526" w:name="mv2_h_0155"/>
      <w:pPr>
        <w:pStyle w:val="Heading2"/>
        <w:keepNext/>
        <w:widowControl/>
      </w:pPr>
      <w:r>
        <w:t xml:space="preserve">10.3 InPost Integration</w:t>
      </w:r>
      <w:bookmarkEnd w:id="526"/>
    </w:p>
    <w:p>
      <w:pPr>
        <w:pStyle w:val="FirstParagraph"/>
        <w:widowControl/>
        <w:jc w:val="left"/>
      </w:pPr>
      <w:r>
        <w:t>The reviewed source includes configurable InPost timeout and retry behavior, and the current release includes InPost-related development.</w:t>
      </w:r>
    </w:p>
    <w:p>
      <w:bookmarkStart w:id="527" w:name="mv2_h_0156"/>
      <w:pPr>
        <w:pStyle w:val="Heading2"/>
        <w:keepNext/>
        <w:widowControl/>
      </w:pPr>
      <w:r>
        <w:t xml:space="preserve">10.4 Geocoding Integration</w:t>
      </w:r>
      <w:bookmarkEnd w:id="527"/>
    </w:p>
    <w:p>
      <w:pPr>
        <w:pStyle w:val="FirstParagraph"/>
        <w:widowControl/>
        <w:jc w:val="left"/>
      </w:pPr>
      <w:r>
        <w:t>The geocoding area integrates external providers and includes per-operator encrypted provider credentials in the current release.</w:t>
      </w:r>
    </w:p>
    <w:p>
      <w:bookmarkStart w:id="528" w:name="mv2_h_0157"/>
      <w:pPr>
        <w:pStyle w:val="Heading2"/>
        <w:keepNext/>
        <w:widowControl/>
      </w:pPr>
      <w:r>
        <w:t xml:space="preserve">10.5 Mail Integration</w:t>
      </w:r>
      <w:bookmarkEnd w:id="528"/>
    </w:p>
    <w:p>
      <w:pPr>
        <w:pStyle w:val="FirstParagraph"/>
        <w:widowControl/>
        <w:jc w:val="left"/>
      </w:pPr>
      <w:r>
        <w:t>Mail functionality uses SMTP together with message and template components to deliver notifications.</w:t>
      </w:r>
    </w:p>
    <w:p>
      <w:bookmarkStart w:id="529" w:name="mv2_h_0158"/>
      <w:pPr>
        <w:pStyle w:val="Heading2"/>
        <w:keepNext/>
        <w:widowControl/>
      </w:pPr>
      <w:r>
        <w:t xml:space="preserve">10.6 Service Discovery and Feign</w:t>
      </w:r>
      <w:bookmarkEnd w:id="529"/>
    </w:p>
    <w:p>
      <w:pPr>
        <w:pStyle w:val="FirstParagraph"/>
        <w:widowControl/>
        <w:jc w:val="left"/>
      </w:pPr>
      <w:r>
        <w:t>Eureka-based discovery allows Feign clients to address services by logical service name rather than fixed host.</w:t>
      </w:r>
    </w:p>
    <w:p>
      <w:bookmarkStart w:id="531" w:name="mv2_h_0160"/>
      <w:pPr>
        <w:pStyle w:val="Heading1"/>
        <w:keepNext/>
        <w:widowControl/>
      </w:pPr>
      <w:r>
        <w:t xml:space="preserve">11. API Surface</w:t>
      </w:r>
      <w:bookmarkEnd w:id="531"/>
    </w:p>
    <w:p>
      <w:bookmarkStart w:id="532" w:name="mv2_h_0161"/>
      <w:pPr>
        <w:pStyle w:val="Heading2"/>
        <w:keepNext/>
        <w:widowControl/>
      </w:pPr>
      <w:r>
        <w:t xml:space="preserve">11.1 API Base Path</w:t>
      </w:r>
      <w:bookmarkEnd w:id="532"/>
    </w:p>
    <w:p>
      <w:pPr>
        <w:pStyle w:val="FirstParagraph"/>
        <w:widowControl/>
        <w:jc w:val="left"/>
      </w:pPr>
      <w:r>
        <w:t>The main application serves APIs under /v2/api in the reviewed configuration. Controller mappings are appended to that context path.</w:t>
      </w:r>
    </w:p>
    <w:p>
      <w:bookmarkStart w:id="533" w:name="mv2_h_0162"/>
      <w:pPr>
        <w:pStyle w:val="Heading2"/>
        <w:keepNext/>
        <w:widowControl/>
      </w:pPr>
      <w:r>
        <w:t xml:space="preserve">11.2 API Categories</w:t>
      </w:r>
      <w:bookmarkEnd w:id="533"/>
    </w:p>
    <w:p>
      <w:pPr>
        <w:pStyle w:val="FirstParagraph"/>
        <w:widowControl/>
        <w:jc w:val="left"/>
        <w:spacing w:after="100"/>
      </w:pPr>
      <w:r>
        <w:t xml:space="preserve">The repository contains several categories of HTTP endpoints:</w:t>
      </w:r>
    </w:p>
    <w:tbl>
      <w:tblPr>
        <w:tblStyle w:val="Table"/>
        <w:tblW w:type="pct" w:w="5000"/>
        <w:jc w:val="center"/>
        <w:tblLayout w:type="fixed"/>
        <w:tblLook w:firstRow="1" w:lastRow="0" w:firstColumn="0" w:lastColumn="0" w:noHBand="0" w:noVBand="0" w:val="0020"/>
        <w:tblBorders>
          <w:top w:val="single" w:sz="4" w:space="0" w:color="D7E0E6"/>
          <w:left w:val="single" w:sz="4" w:space="0" w:color="D7E0E6"/>
          <w:bottom w:val="single" w:sz="4" w:space="0" w:color="D7E0E6"/>
          <w:right w:val="single" w:sz="4" w:space="0" w:color="D7E0E6"/>
          <w:insideH w:val="single" w:sz="4" w:space="0" w:color="D7E0E6"/>
          <w:insideV w:val="single" w:sz="4" w:space="0" w:color="D7E0E6"/>
        </w:tblBorders>
      </w:tblPr>
      <w:tblGrid>
        <w:gridCol w:w="2640"/>
        <w:gridCol w:w="2640"/>
        <w:gridCol w:w="2640"/>
      </w:tblGrid>
      <w:tr>
        <w:trPr>
          <w:tblHeader w:val="true"/>
          <w:cantSplit/>
        </w:trPr>
        <w:tc>
          <w:tcPr>
            <w:tcW w:type="dxa" w:w="2015"/>
            <w:tcMar>
              <w:top w:w="85" w:type="dxa"/>
              <w:start w:w="100" w:type="dxa"/>
              <w:bottom w:w="85" w:type="dxa"/>
              <w:end w:w="100" w:type="dxa"/>
            </w:tcMar>
            <w:vAlign w:val="center"/>
            <w:shd w:fill="17324D" w:val="clear"/>
          </w:tcPr>
          <w:p>
            <w:pPr>
              <w:pStyle w:val="Compact"/>
              <w:widowControl/>
              <w:spacing w:before="0" w:after="30" w:line="240" w:lineRule="auto"/>
              <w:jc w:val="left"/>
            </w:pPr>
            <w:r>
              <w:rPr>
                <w:rFonts w:ascii="Noto Sans" w:hAnsi="Noto Sans" w:eastAsia="Noto Sans"/>
                <w:b/>
                <w:color w:val="FFFFFF"/>
                <w:sz w:val="17"/>
              </w:rPr>
              <w:t xml:space="preserve">Category</w:t>
            </w:r>
          </w:p>
        </w:tc>
        <w:tc>
          <w:tcPr>
            <w:tcW w:type="dxa" w:w="3311"/>
            <w:tcMar>
              <w:top w:w="85" w:type="dxa"/>
              <w:start w:w="100" w:type="dxa"/>
              <w:bottom w:w="85" w:type="dxa"/>
              <w:end w:w="100" w:type="dxa"/>
            </w:tcMar>
            <w:vAlign w:val="center"/>
            <w:shd w:fill="17324D" w:val="clear"/>
          </w:tcPr>
          <w:p>
            <w:pPr>
              <w:pStyle w:val="Compact"/>
              <w:widowControl/>
              <w:spacing w:before="0" w:after="30" w:line="240" w:lineRule="auto"/>
              <w:jc w:val="left"/>
            </w:pPr>
            <w:r>
              <w:rPr>
                <w:rFonts w:ascii="Noto Sans" w:hAnsi="Noto Sans" w:eastAsia="Noto Sans"/>
                <w:b/>
                <w:color w:val="FFFFFF"/>
                <w:sz w:val="17"/>
              </w:rPr>
              <w:t xml:space="preserve">Authentication expectation</w:t>
            </w:r>
          </w:p>
        </w:tc>
        <w:tc>
          <w:tcPr>
            <w:tcW w:type="dxa" w:w="4392"/>
            <w:tcMar>
              <w:top w:w="85" w:type="dxa"/>
              <w:start w:w="100" w:type="dxa"/>
              <w:bottom w:w="85" w:type="dxa"/>
              <w:end w:w="100" w:type="dxa"/>
            </w:tcMar>
            <w:vAlign w:val="center"/>
            <w:shd w:fill="17324D" w:val="clear"/>
          </w:tcPr>
          <w:p>
            <w:pPr>
              <w:pStyle w:val="Compact"/>
              <w:widowControl/>
              <w:spacing w:before="0" w:after="30" w:line="240" w:lineRule="auto"/>
              <w:jc w:val="left"/>
            </w:pPr>
            <w:r>
              <w:rPr>
                <w:rFonts w:ascii="Noto Sans" w:hAnsi="Noto Sans" w:eastAsia="Noto Sans"/>
                <w:b/>
                <w:color w:val="FFFFFF"/>
                <w:sz w:val="17"/>
              </w:rPr>
              <w:t xml:space="preserve">Examples</w:t>
            </w:r>
          </w:p>
        </w:tc>
      </w:tr>
      <w:tr>
        <w:trPr>
          <w:cantSplit/>
        </w:trPr>
        <w:tc>
          <w:tcPr>
            <w:tcW w:type="dxa" w:w="2015"/>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Public browser endpoints</w:t>
            </w:r>
          </w:p>
        </w:tc>
        <w:tc>
          <w:tcPr>
            <w:tcW w:type="dxa" w:w="3311"/>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Anonymous plus rate limiting; CSRF initialization as applicable</w:t>
            </w:r>
          </w:p>
        </w:tc>
        <w:tc>
          <w:tcPr>
            <w:tcW w:type="dxa" w:w="4392"/>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Login, refresh, logout, sign-up, CSRF token.</w:t>
            </w:r>
          </w:p>
        </w:tc>
      </w:tr>
      <w:tr>
        <w:trPr>
          <w:cantSplit/>
        </w:trPr>
        <w:tc>
          <w:tcPr>
            <w:tcW w:type="dxa" w:w="2015"/>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Authenticated user endpoints</w:t>
            </w:r>
          </w:p>
        </w:tc>
        <w:tc>
          <w:tcPr>
            <w:tcW w:type="dxa" w:w="3311"/>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JWT cookie, CSRF for mutations, permission checks</w:t>
            </w:r>
          </w:p>
        </w:tc>
        <w:tc>
          <w:tcPr>
            <w:tcW w:type="dxa" w:w="4392"/>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Current user, users, shipments, departments, suppliers.</w:t>
            </w:r>
          </w:p>
        </w:tc>
      </w:tr>
      <w:tr>
        <w:trPr>
          <w:cantSplit/>
        </w:trPr>
        <w:tc>
          <w:tcPr>
            <w:tcW w:type="dxa" w:w="2015"/>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Administrative endpoints</w:t>
            </w:r>
          </w:p>
        </w:tc>
        <w:tc>
          <w:tcPr>
            <w:tcW w:type="dxa" w:w="3311"/>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JWT plus privileged permission and operator scope</w:t>
            </w:r>
          </w:p>
        </w:tc>
        <w:tc>
          <w:tcPr>
            <w:tcW w:type="dxa" w:w="4392"/>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User creation, role/permission changes, refresh-token maintenance.</w:t>
            </w:r>
          </w:p>
        </w:tc>
      </w:tr>
      <w:tr>
        <w:trPr>
          <w:cantSplit/>
        </w:trPr>
        <w:tc>
          <w:tcPr>
            <w:tcW w:type="dxa" w:w="2015"/>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Device endpoints</w:t>
            </w:r>
          </w:p>
        </w:tc>
        <w:tc>
          <w:tcPr>
            <w:tcW w:type="dxa" w:w="3311"/>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Pairing challenge or device credential</w:t>
            </w:r>
          </w:p>
        </w:tc>
        <w:tc>
          <w:tcPr>
            <w:tcW w:type="dxa" w:w="4392"/>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Pairing, verification, device operations.</w:t>
            </w:r>
          </w:p>
        </w:tc>
      </w:tr>
      <w:tr>
        <w:trPr>
          <w:cantSplit/>
        </w:trPr>
        <w:tc>
          <w:tcPr>
            <w:tcW w:type="dxa" w:w="2015"/>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Internal synchronization</w:t>
            </w:r>
          </w:p>
        </w:tc>
        <w:tc>
          <w:tcPr>
            <w:tcW w:type="dxa" w:w="3311"/>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Service credential or signed internal token</w:t>
            </w:r>
          </w:p>
        </w:tc>
        <w:tc>
          <w:tcPr>
            <w:tcW w:type="dxa" w:w="4392"/>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Shipment read-model synchronization.</w:t>
            </w:r>
          </w:p>
        </w:tc>
      </w:tr>
      <w:tr>
        <w:trPr>
          <w:cantSplit/>
        </w:trPr>
        <w:tc>
          <w:tcPr>
            <w:tcW w:type="dxa" w:w="2015"/>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Operational endpoints</w:t>
            </w:r>
          </w:p>
        </w:tc>
        <w:tc>
          <w:tcPr>
            <w:tcW w:type="dxa" w:w="3311"/>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Network restriction and operations authorization</w:t>
            </w:r>
          </w:p>
        </w:tc>
        <w:tc>
          <w:tcPr>
            <w:tcW w:type="dxa" w:w="4392"/>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Actuator health, metrics, diagnostic endpoints.</w:t>
            </w:r>
          </w:p>
        </w:tc>
      </w:tr>
      <w:tr>
        <w:trPr>
          <w:cantSplit/>
        </w:trPr>
        <w:tc>
          <w:tcPr>
            <w:tcW w:type="dxa" w:w="2015"/>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Documentation endpoints</w:t>
            </w:r>
          </w:p>
        </w:tc>
        <w:tc>
          <w:tcPr>
            <w:tcW w:type="dxa" w:w="3311"/>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Public in local/dev; restricted or disabled in production</w:t>
            </w:r>
          </w:p>
        </w:tc>
        <w:tc>
          <w:tcPr>
            <w:tcW w:type="dxa" w:w="4392"/>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OpenAPI and Swagger UI.</w:t>
            </w:r>
          </w:p>
        </w:tc>
      </w:tr>
    </w:tbl>
    <w:p>
      <w:bookmarkStart w:id="541" w:name="mv2_h_0170"/>
      <w:pPr>
        <w:pStyle w:val="Heading2"/>
        <w:keepNext/>
        <w:widowControl/>
      </w:pPr>
      <w:r>
        <w:t xml:space="preserve">11.3 OpenAPI</w:t>
      </w:r>
      <w:bookmarkEnd w:id="541"/>
    </w:p>
    <w:p>
      <w:pPr>
        <w:pStyle w:val="FirstParagraph"/>
        <w:widowControl/>
        <w:jc w:val="left"/>
      </w:pPr>
      <w:r>
        <w:t>Springdoc is included in the main application and exposes OpenAPI/Swagger resources.</w:t>
      </w:r>
    </w:p>
    <w:p>
      <w:bookmarkStart w:id="542" w:name="mv2_h_0171"/>
      <w:pPr>
        <w:pStyle w:val="Heading2"/>
        <w:keepNext/>
        <w:widowControl/>
      </w:pPr>
      <w:r>
        <w:t xml:space="preserve">11.4 Versioning</w:t>
      </w:r>
      <w:bookmarkEnd w:id="542"/>
    </w:p>
    <w:p>
      <w:pPr>
        <w:pStyle w:val="FirstParagraph"/>
        <w:widowControl/>
        <w:jc w:val="left"/>
      </w:pPr>
      <w:r>
        <w:t>The configured context path contains v2, representing URI-based major API versioning.</w:t>
      </w:r>
    </w:p>
    <w:p>
      <w:bookmarkStart w:id="543" w:name="mv2_h_0172"/>
      <w:pPr>
        <w:pStyle w:val="Heading2"/>
        <w:keepNext/>
        <w:widowControl/>
      </w:pPr>
      <w:r>
        <w:t xml:space="preserve">11.5 Language and Localization</w:t>
      </w:r>
      <w:bookmarkEnd w:id="543"/>
    </w:p>
    <w:p>
      <w:pPr>
        <w:pStyle w:val="FirstParagraph"/>
        <w:widowControl/>
        <w:jc w:val="left"/>
      </w:pPr>
      <w:r>
        <w:t>The current-user API supports pl, en, and de language choices for user-facing messages and mail templates.</w:t>
      </w:r>
    </w:p>
    <w:p>
      <w:bookmarkStart w:id="566" w:name="mv2_h_0195"/>
      <w:pPr>
        <w:pStyle w:val="Heading1"/>
        <w:keepNext/>
        <w:widowControl/>
      </w:pPr>
      <w:r>
        <w:t xml:space="preserve">12. Containerization Assets</w:t>
      </w:r>
      <w:bookmarkEnd w:id="566"/>
    </w:p>
    <w:p>
      <w:bookmarkStart w:id="567" w:name="mv2_h_0196"/>
      <w:pPr>
        <w:pStyle w:val="Heading2"/>
        <w:keepNext/>
        <w:widowControl/>
      </w:pPr>
      <w:r>
        <w:t xml:space="preserve">12.1 Dockerfile</w:t>
      </w:r>
      <w:bookmarkEnd w:id="567"/>
    </w:p>
    <w:p>
      <w:pPr>
        <w:pStyle w:val="FirstParagraph"/>
        <w:widowControl/>
        <w:jc w:val="left"/>
      </w:pPr>
      <w:r>
        <w:t xml:space="preserve">The main Dockerfile is a multi-stage build using Maven 3.9.9 with Eclipse Temurin 21 for compilation and a Temurin 21 JRE for runtime. It builds the Application project and skips tests during image construction, then exposes port 8080.</w:t>
      </w:r>
    </w:p>
    <w:p>
      <w:pPr>
        <w:pStyle w:val="BodyText"/>
        <w:widowControl/>
        <w:jc w:val="left"/>
      </w:pPr>
      <w:r>
        <w:t>The multi-stage layout excludes Maven and the compilation toolchain from the final runtime image.</w:t>
      </w:r>
    </w:p>
    <w:p>
      <w:bookmarkStart w:id="570" w:name="mv2_h_0199"/>
      <w:pPr>
        <w:pStyle w:val="Heading2"/>
        <w:keepNext/>
        <w:widowControl/>
      </w:pPr>
      <w:r>
        <w:t xml:space="preserve">12.2 Docker Compose</w:t>
      </w:r>
      <w:bookmarkEnd w:id="570"/>
    </w:p>
    <w:p>
      <w:pPr>
        <w:pStyle w:val="FirstParagraph"/>
        <w:widowControl/>
        <w:jc w:val="left"/>
      </w:pPr>
      <w:r>
        <w:t xml:space="preserve">The Compose stack is useful for local integration and demonstrates service dependencies. It provisions:</w:t>
      </w:r>
    </w:p>
    <w:p>
      <w:pPr>
        <w:pStyle w:val="Compact"/>
        <w:widowControl/>
        <w:numPr>
          <w:ilvl w:val="0"/>
          <w:numId w:val="1025"/>
        </w:numPr>
      </w:pPr>
      <w:r>
        <w:t xml:space="preserve">MySQL 8 with development databases;</w:t>
      </w:r>
    </w:p>
    <w:p>
      <w:pPr>
        <w:pStyle w:val="Compact"/>
        <w:widowControl/>
        <w:numPr>
          <w:ilvl w:val="0"/>
          <w:numId w:val="1025"/>
        </w:numPr>
      </w:pPr>
      <w:r>
        <w:t xml:space="preserve">MongoDB using an unpinned</w:t>
      </w:r>
      <w:r>
        <w:t xml:space="preserve"> </w:t>
      </w:r>
      <w:r>
        <w:rPr>
          <w:rStyle w:val="VerbatimChar"/>
        </w:rPr>
        <w:t xml:space="preserve">latest</w:t>
      </w:r>
      <w:r>
        <w:t xml:space="preserve"> </w:t>
      </w:r>
      <w:r>
        <w:t xml:space="preserve">tag;</w:t>
      </w:r>
    </w:p>
    <w:p>
      <w:pPr>
        <w:pStyle w:val="Compact"/>
        <w:widowControl/>
        <w:numPr>
          <w:ilvl w:val="0"/>
          <w:numId w:val="1025"/>
        </w:numPr>
      </w:pPr>
      <w:r>
        <w:t xml:space="preserve">Confluent ZooKeeper and Kafka 7.6.1;</w:t>
      </w:r>
    </w:p>
    <w:p>
      <w:pPr>
        <w:pStyle w:val="Compact"/>
        <w:widowControl/>
        <w:numPr>
          <w:ilvl w:val="0"/>
          <w:numId w:val="1025"/>
        </w:numPr>
      </w:pPr>
      <w:r>
        <w:t xml:space="preserve">Kafka UI;</w:t>
      </w:r>
    </w:p>
    <w:p>
      <w:pPr>
        <w:pStyle w:val="Compact"/>
        <w:widowControl/>
        <w:numPr>
          <w:ilvl w:val="0"/>
          <w:numId w:val="1025"/>
        </w:numPr>
      </w:pPr>
      <w:r>
        <w:t xml:space="preserve">Eureka and Gateway;</w:t>
      </w:r>
    </w:p>
    <w:p>
      <w:pPr>
        <w:pStyle w:val="Compact"/>
        <w:widowControl/>
        <w:numPr>
          <w:ilvl w:val="0"/>
          <w:numId w:val="1025"/>
        </w:numPr>
      </w:pPr>
      <w:r>
        <w:t xml:space="preserve">SoftwareConfiguration;</w:t>
      </w:r>
    </w:p>
    <w:p>
      <w:pPr>
        <w:pStyle w:val="Compact"/>
        <w:widowControl/>
        <w:numPr>
          <w:ilvl w:val="0"/>
          <w:numId w:val="1025"/>
        </w:numPr>
      </w:pPr>
      <w:r>
        <w:t xml:space="preserve">ReturningTrackManager; and</w:t>
      </w:r>
    </w:p>
    <w:p>
      <w:pPr>
        <w:pStyle w:val="Compact"/>
        <w:widowControl/>
        <w:numPr>
          <w:ilvl w:val="0"/>
          <w:numId w:val="1025"/>
        </w:numPr>
      </w:pPr>
      <w:r>
        <w:t xml:space="preserve">RouteTrackerFlow.</w:t>
      </w:r>
    </w:p>
    <w:p>
      <w:pPr>
        <w:pStyle w:val="FirstParagraph"/>
        <w:widowControl/>
        <w:jc w:val="left"/>
      </w:pPr>
      <w:r>
        <w:t>The main Application is not included in the observed Compose service set.</w:t>
      </w:r>
    </w:p>
    <w:p>
      <w:bookmarkStart w:id="579" w:name="mv2_h_0208"/>
      <w:pPr>
        <w:pStyle w:val="Heading1"/>
        <w:keepNext/>
        <w:widowControl/>
      </w:pPr>
      <w:r>
        <w:t xml:space="preserve">13. CI/CD Definitions</w:t>
      </w:r>
      <w:bookmarkEnd w:id="579"/>
    </w:p>
    <w:p>
      <w:bookmarkStart w:id="587" w:name="mv2_h_0216"/>
      <w:pPr>
        <w:pStyle w:val="Heading2"/>
        <w:keepNext/>
        <w:widowControl/>
      </w:pPr>
      <w:r>
        <w:t xml:space="preserve">13.1 Jenkins Pipeline</w:t>
      </w:r>
      <w:bookmarkEnd w:id="587"/>
    </w:p>
    <w:p>
      <w:pPr>
        <w:pStyle w:val="FirstParagraph"/>
        <w:widowControl/>
        <w:jc w:val="left"/>
      </w:pPr>
      <w:r>
        <w:t>The repository includes a Jenkins pipeline with Windows-oriented commands and build/deploy stages. Its deployment command uses mvn clean deploy -DskipTests, and Sonar-related variables are present without a complete mandatory analysis stage.</w:t>
      </w:r>
    </w:p>
    <w:p>
      <w:bookmarkStart w:id="588" w:name="mv2_h_0217"/>
      <w:pPr>
        <w:pStyle w:val="Heading2"/>
        <w:keepNext/>
        <w:widowControl/>
      </w:pPr>
      <w:r>
        <w:t xml:space="preserve">13.2 GitLab CI</w:t>
      </w:r>
      <w:bookmarkEnd w:id="588"/>
    </w:p>
    <w:p>
      <w:pPr>
        <w:pStyle w:val="FirstParagraph"/>
        <w:widowControl/>
        <w:jc w:val="left"/>
      </w:pPr>
      <w:r>
        <w:t>The GitLab pipeline defines build, test, package, deploy, and SonarCloud-related jobs. The deployment job is currently represented as a placeholder rather than a complete production deployment, and Qodana configuration is commented.</w:t>
      </w:r>
    </w:p>
    <w:p>
      <w:bookmarkStart w:id="644" w:name="mv2_h_0273"/>
      <w:pPr>
        <w:pStyle w:val="Heading1"/>
        <w:keepNext/>
        <w:widowControl/>
      </w:pPr>
      <w:r>
        <w:t xml:space="preserve">14. Current Release Overview</w:t>
      </w:r>
      <w:bookmarkEnd w:id="644"/>
    </w:p>
    <w:p>
      <w:bookmarkStart w:id="645" w:name="mv2_h_0274"/>
      <w:pPr>
        <w:pStyle w:val="Heading2"/>
        <w:keepNext/>
        <w:widowControl/>
      </w:pPr>
      <w:r>
        <w:t xml:space="preserve">14.1 Release Position</w:t>
      </w:r>
      <w:bookmarkEnd w:id="645"/>
    </w:p>
    <w:p>
      <w:pPr>
        <w:pStyle w:val="FirstParagraph"/>
        <w:widowControl/>
        <w:jc w:val="left"/>
      </w:pPr>
      <w:r>
        <w:t>The current release is planned for September 2026. It is a substantial architectural and domain update rather than a narrow patch.</w:t>
      </w:r>
    </w:p>
    <w:p>
      <w:bookmarkStart w:id="646" w:name="mv2_h_0275"/>
      <w:pPr>
        <w:pStyle w:val="Heading2"/>
        <w:keepNext/>
        <w:widowControl/>
      </w:pPr>
      <w:r>
        <w:t xml:space="preserve">14.2 Operator-Aware Model</w:t>
      </w:r>
      <w:bookmarkEnd w:id="646"/>
    </w:p>
    <w:p>
      <w:pPr>
        <w:pStyle w:val="FirstParagraph"/>
        <w:widowControl/>
        <w:jc w:val="left"/>
      </w:pPr>
      <w:r>
        <w:t>The principal release change is operator-aware identity and data handling across JWT/current-user flows, logging context, repositories, provisioning, configuration, and integration credentials.</w:t>
      </w:r>
    </w:p>
    <w:p>
      <w:bookmarkStart w:id="647" w:name="mv2_h_0276"/>
      <w:pPr>
        <w:pStyle w:val="Heading2"/>
        <w:keepNext/>
        <w:widowControl/>
      </w:pPr>
      <w:r>
        <w:t xml:space="preserve">14.3 Provisioning and Configuration</w:t>
      </w:r>
      <w:bookmarkEnd w:id="647"/>
    </w:p>
    <w:p>
      <w:pPr>
        <w:pStyle w:val="FirstParagraph"/>
        <w:widowControl/>
        <w:jc w:val="left"/>
      </w:pPr>
      <w:r>
        <w:t>The current release adds or extends operator provisioning and operator-configuration creation events.</w:t>
      </w:r>
    </w:p>
    <w:p>
      <w:bookmarkStart w:id="648" w:name="mv2_h_0277"/>
      <w:pPr>
        <w:pStyle w:val="Heading2"/>
        <w:keepNext/>
        <w:widowControl/>
      </w:pPr>
      <w:r>
        <w:t xml:space="preserve">14.4 User, Role, and Department Read Models</w:t>
      </w:r>
      <w:bookmarkEnd w:id="648"/>
    </w:p>
    <w:p>
      <w:pPr>
        <w:pStyle w:val="FirstParagraph"/>
        <w:widowControl/>
        <w:jc w:val="left"/>
      </w:pPr>
      <w:r>
        <w:t>The release develops synchronized read models for user, role, and department information, reducing direct module coupling.</w:t>
      </w:r>
    </w:p>
    <w:p>
      <w:bookmarkStart w:id="649" w:name="mv2_h_0278"/>
      <w:pPr>
        <w:pStyle w:val="Heading2"/>
        <w:keepNext/>
        <w:widowControl/>
      </w:pPr>
      <w:r>
        <w:t xml:space="preserve">14.5 Shipment and Return Events</w:t>
      </w:r>
      <w:bookmarkEnd w:id="649"/>
    </w:p>
    <w:p>
      <w:pPr>
        <w:pStyle w:val="FirstParagraph"/>
        <w:widowControl/>
        <w:jc w:val="left"/>
      </w:pPr>
      <w:r>
        <w:t>Shipment event development includes return events and shipment read-model synchronization.</w:t>
      </w:r>
    </w:p>
    <w:p>
      <w:bookmarkStart w:id="650" w:name="mv2_h_0279"/>
      <w:pPr>
        <w:pStyle w:val="Heading2"/>
        <w:keepNext/>
        <w:widowControl/>
      </w:pPr>
      <w:r>
        <w:t xml:space="preserve">14.6 Route Tracker Enhancements</w:t>
      </w:r>
      <w:bookmarkEnd w:id="650"/>
    </w:p>
    <w:p>
      <w:pPr>
        <w:pStyle w:val="FirstParagraph"/>
        <w:widowControl/>
        <w:jc w:val="left"/>
      </w:pPr>
      <w:r>
        <w:t>RouteTracker gains JWT/current-user integration, Kafka processing, and route-history capabilities.</w:t>
      </w:r>
    </w:p>
    <w:p>
      <w:bookmarkStart w:id="651" w:name="mv2_h_0280"/>
      <w:pPr>
        <w:pStyle w:val="Heading2"/>
        <w:keepNext/>
        <w:widowControl/>
      </w:pPr>
      <w:r>
        <w:t xml:space="preserve">14.7 Dangerous Goods and InPost</w:t>
      </w:r>
      <w:bookmarkEnd w:id="651"/>
    </w:p>
    <w:p>
      <w:pPr>
        <w:pStyle w:val="FirstParagraph"/>
        <w:widowControl/>
        <w:jc w:val="left"/>
      </w:pPr>
      <w:r>
        <w:t>The release adds dangerous-goods functionality and extends the InPost integration.</w:t>
      </w:r>
    </w:p>
    <w:p>
      <w:bookmarkStart w:id="652" w:name="mv2_h_0281"/>
      <w:pPr>
        <w:pStyle w:val="Heading2"/>
        <w:keepNext/>
        <w:widowControl/>
      </w:pPr>
      <w:r>
        <w:t xml:space="preserve">14.8 Core-to-Impl Renaming</w:t>
      </w:r>
      <w:bookmarkEnd w:id="652"/>
    </w:p>
    <w:p>
      <w:pPr>
        <w:pStyle w:val="FirstParagraph"/>
        <w:widowControl/>
        <w:jc w:val="left"/>
      </w:pPr>
      <w:r>
        <w:t>The release renames selected Core modules to Impl, reinforcing the API/implementation naming convention.</w:t>
      </w:r>
    </w:p>
    <w:p>
      <w:bookmarkStart w:id="653" w:name="mv2_h_0282"/>
      <w:pPr>
        <w:pStyle w:val="Heading2"/>
        <w:keepNext/>
        <w:widowControl/>
      </w:pPr>
      <w:r>
        <w:t xml:space="preserve">14.9 Authentication and Cookie Changes</w:t>
      </w:r>
      <w:bookmarkEnd w:id="653"/>
    </w:p>
    <w:p>
      <w:pPr>
        <w:pStyle w:val="FirstParagraph"/>
        <w:widowControl/>
        <w:jc w:val="left"/>
      </w:pPr>
      <w:r>
        <w:t>The release includes refresh-token and cookie changes affecting login, refresh, logout, CSRF, and cross-origin browser behavior.</w:t>
      </w:r>
    </w:p>
    <w:p>
      <w:bookmarkStart w:id="654" w:name="mv2_h_0283"/>
      <w:pPr>
        <w:pStyle w:val="Heading2"/>
        <w:keepNext/>
        <w:widowControl/>
      </w:pPr>
      <w:r>
        <w:t xml:space="preserve">14.10 Supplier, Geocoding, and Path Finding</w:t>
      </w:r>
      <w:bookmarkEnd w:id="654"/>
    </w:p>
    <w:p>
      <w:pPr>
        <w:pStyle w:val="FirstParagraph"/>
        <w:widowControl/>
        <w:jc w:val="left"/>
      </w:pPr>
      <w:r>
        <w:t>The release expands supplier, geocoding, and path-finding capabilities and introduces operator-specific encrypted geocoding keys.</w:t>
      </w:r>
    </w:p>
    <w:p>
      <w:bookmarkStart w:id="655" w:name="mv2_h_0284"/>
      <w:pPr>
        <w:pStyle w:val="Heading2"/>
        <w:keepNext/>
        <w:widowControl/>
      </w:pPr>
      <w:r>
        <w:t xml:space="preserve">14.11 Legacy RouteLogger Removal</w:t>
      </w:r>
      <w:bookmarkEnd w:id="655"/>
    </w:p>
    <w:p>
      <w:pPr>
        <w:pStyle w:val="FirstParagraph"/>
        <w:widowControl/>
        <w:jc w:val="left"/>
      </w:pPr>
      <w:r>
        <w:t>The release removes legacy RouteLogger functionality and consolidates route-history responsibility.</w:t>
      </w:r>
    </w:p>
    <w:p>
      <w:bookmarkStart w:id="656" w:name="mv2_h_0285"/>
      <w:pPr>
        <w:pStyle w:val="Heading2"/>
        <w:keepNext/>
        <w:widowControl/>
      </w:pPr>
      <w:r>
        <w:t xml:space="preserve">14.12 Infrastructure Updates</w:t>
      </w:r>
      <w:bookmarkEnd w:id="656"/>
    </w:p>
    <w:p>
      <w:pPr>
        <w:pStyle w:val="FirstParagraph"/>
        <w:widowControl/>
        <w:jc w:val="left"/>
      </w:pPr>
      <w:r>
        <w:t>The release includes Docker, Eureka, Gateway, and CORS updates associated with the evolving runtime topology.</w:t>
      </w:r>
    </w:p>
    <w:p>
      <w:bookmarkStart w:id="658" w:name="mv2_h_0287"/>
      <w:pPr>
        <w:pStyle w:val="Heading1"/>
        <w:keepNext/>
        <w:widowControl/>
      </w:pPr>
      <w:r>
        <w:t xml:space="preserve">Appendix A. Repository Map</w:t>
      </w:r>
      <w:bookmarkEnd w:id="658"/>
    </w:p>
    <w:p>
      <w:bookmarkStart w:id="659" w:name="mv2_h_0288"/>
      <w:pPr>
        <w:pStyle w:val="Heading2"/>
        <w:keepNext/>
        <w:widowControl/>
        <w:spacing w:after="100"/>
      </w:pPr>
      <w:r>
        <w:t xml:space="preserve">A.1 Top-Level Areas</w:t>
      </w:r>
      <w:bookmarkEnd w:id="659"/>
    </w:p>
    <w:tbl>
      <w:tblPr>
        <w:tblStyle w:val="Table"/>
        <w:tblW w:type="pct" w:w="5000"/>
        <w:jc w:val="center"/>
        <w:tblLayout w:type="fixed"/>
        <w:tblLook w:firstRow="1" w:lastRow="0" w:firstColumn="0" w:lastColumn="0" w:noHBand="0" w:noVBand="0" w:val="0020"/>
        <w:tblBorders>
          <w:top w:val="single" w:sz="4" w:space="0" w:color="D7E0E6"/>
          <w:left w:val="single" w:sz="4" w:space="0" w:color="D7E0E6"/>
          <w:bottom w:val="single" w:sz="4" w:space="0" w:color="D7E0E6"/>
          <w:right w:val="single" w:sz="4" w:space="0" w:color="D7E0E6"/>
          <w:insideH w:val="single" w:sz="4" w:space="0" w:color="D7E0E6"/>
          <w:insideV w:val="single" w:sz="4" w:space="0" w:color="D7E0E6"/>
        </w:tblBorders>
      </w:tblPr>
      <w:tblGrid>
        <w:gridCol w:w="3960"/>
        <w:gridCol w:w="3960"/>
      </w:tblGrid>
      <w:tr>
        <w:trPr>
          <w:tblHeader w:val="true"/>
          <w:cantSplit/>
        </w:trPr>
        <w:tc>
          <w:tcPr>
            <w:tcW w:type="dxa" w:w="2951"/>
            <w:tcMar>
              <w:top w:w="85" w:type="dxa"/>
              <w:start w:w="100" w:type="dxa"/>
              <w:bottom w:w="85" w:type="dxa"/>
              <w:end w:w="100" w:type="dxa"/>
            </w:tcMar>
            <w:vAlign w:val="center"/>
            <w:shd w:fill="17324D" w:val="clear"/>
          </w:tcPr>
          <w:p>
            <w:pPr>
              <w:pStyle w:val="Compact"/>
              <w:widowControl/>
              <w:spacing w:before="0" w:after="30" w:line="240" w:lineRule="auto"/>
              <w:jc w:val="left"/>
            </w:pPr>
            <w:r>
              <w:rPr>
                <w:rFonts w:ascii="Noto Sans" w:hAnsi="Noto Sans" w:eastAsia="Noto Sans"/>
                <w:b/>
                <w:color w:val="FFFFFF"/>
                <w:sz w:val="17"/>
              </w:rPr>
              <w:t xml:space="preserve">Path</w:t>
            </w:r>
          </w:p>
        </w:tc>
        <w:tc>
          <w:tcPr>
            <w:tcW w:type="dxa" w:w="6768"/>
            <w:tcMar>
              <w:top w:w="85" w:type="dxa"/>
              <w:start w:w="100" w:type="dxa"/>
              <w:bottom w:w="85" w:type="dxa"/>
              <w:end w:w="100" w:type="dxa"/>
            </w:tcMar>
            <w:vAlign w:val="center"/>
            <w:shd w:fill="17324D" w:val="clear"/>
          </w:tcPr>
          <w:p>
            <w:pPr>
              <w:pStyle w:val="Compact"/>
              <w:widowControl/>
              <w:spacing w:before="0" w:after="30" w:line="240" w:lineRule="auto"/>
              <w:jc w:val="left"/>
            </w:pPr>
            <w:r>
              <w:rPr>
                <w:rFonts w:ascii="Noto Sans" w:hAnsi="Noto Sans" w:eastAsia="Noto Sans"/>
                <w:b/>
                <w:color w:val="FFFFFF"/>
                <w:sz w:val="17"/>
              </w:rPr>
              <w:t xml:space="preserve">Purpose</w:t>
            </w:r>
          </w:p>
        </w:tc>
      </w:tr>
      <w:tr>
        <w:trPr>
          <w:cantSplit/>
        </w:trPr>
        <w:tc>
          <w:tcPr>
            <w:tcW w:type="dxa" w:w="2951"/>
            <w:tcMar>
              <w:top w:w="85" w:type="dxa"/>
              <w:start w:w="100" w:type="dxa"/>
              <w:bottom w:w="85" w:type="dxa"/>
              <w:end w:w="100" w:type="dxa"/>
            </w:tcMar>
            <w:vAlign w:val="center"/>
            <w:shd w:fill="FFFFFF" w:val="clear"/>
          </w:tcPr>
          <w:p>
            <w:pPr>
              <w:pStyle w:val="Compact"/>
              <w:widowControl/>
              <w:spacing w:before="0" w:after="30" w:line="240" w:lineRule="auto"/>
              <w:jc w:val="left"/>
            </w:pPr>
            <w:r>
              <w:rPr>
                <w:rStyle w:val="VerbatimChar"/>
                <w:rFonts w:ascii="Carlito" w:hAnsi="Carlito" w:eastAsia="Carlito"/>
                <w:color w:val="44515C"/>
                <w:sz w:val="17"/>
              </w:rPr>
              <w:t xml:space="preserve">pom.xml</w:t>
            </w:r>
          </w:p>
        </w:tc>
        <w:tc>
          <w:tcPr>
            <w:tcW w:type="dxa" w:w="676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Root Maven reactor, version, dependency management, profiles, and distribution settings.</w:t>
            </w:r>
          </w:p>
        </w:tc>
      </w:tr>
      <w:tr>
        <w:trPr>
          <w:cantSplit/>
        </w:trPr>
        <w:tc>
          <w:tcPr>
            <w:tcW w:type="dxa" w:w="2951"/>
            <w:tcMar>
              <w:top w:w="85" w:type="dxa"/>
              <w:start w:w="100" w:type="dxa"/>
              <w:bottom w:w="85" w:type="dxa"/>
              <w:end w:w="100" w:type="dxa"/>
            </w:tcMar>
            <w:vAlign w:val="center"/>
            <w:shd w:fill="FFFFFF" w:val="clear"/>
          </w:tcPr>
          <w:p>
            <w:pPr>
              <w:pStyle w:val="Compact"/>
              <w:widowControl/>
              <w:spacing w:before="0" w:after="30" w:line="240" w:lineRule="auto"/>
              <w:jc w:val="left"/>
            </w:pPr>
            <w:r>
              <w:rPr>
                <w:rStyle w:val="VerbatimChar"/>
                <w:rFonts w:ascii="Carlito" w:hAnsi="Carlito" w:eastAsia="Carlito"/>
                <w:color w:val="44515C"/>
                <w:sz w:val="17"/>
              </w:rPr>
              <w:t xml:space="preserve">README.md</w:t>
            </w:r>
          </w:p>
        </w:tc>
        <w:tc>
          <w:tcPr>
            <w:tcW w:type="dxa" w:w="676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High-level project overview, module descriptions, technology stack, and build notes.</w:t>
            </w:r>
          </w:p>
        </w:tc>
      </w:tr>
      <w:tr>
        <w:trPr>
          <w:cantSplit/>
        </w:trPr>
        <w:tc>
          <w:tcPr>
            <w:tcW w:type="dxa" w:w="2951"/>
            <w:tcMar>
              <w:top w:w="85" w:type="dxa"/>
              <w:start w:w="100" w:type="dxa"/>
              <w:bottom w:w="85" w:type="dxa"/>
              <w:end w:w="100" w:type="dxa"/>
            </w:tcMar>
            <w:vAlign w:val="center"/>
            <w:shd w:fill="FFFFFF" w:val="clear"/>
          </w:tcPr>
          <w:p>
            <w:pPr>
              <w:pStyle w:val="Compact"/>
              <w:widowControl/>
              <w:spacing w:before="0" w:after="30" w:line="240" w:lineRule="auto"/>
              <w:jc w:val="left"/>
            </w:pPr>
            <w:r>
              <w:rPr>
                <w:rStyle w:val="VerbatimChar"/>
                <w:rFonts w:ascii="Carlito" w:hAnsi="Carlito" w:eastAsia="Carlito"/>
                <w:color w:val="44515C"/>
                <w:sz w:val="17"/>
              </w:rPr>
              <w:t xml:space="preserve">AGENTS.md</w:t>
            </w:r>
          </w:p>
        </w:tc>
        <w:tc>
          <w:tcPr>
            <w:tcW w:type="dxa" w:w="676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Repository engineering and contribution rules.</w:t>
            </w:r>
          </w:p>
        </w:tc>
      </w:tr>
      <w:tr>
        <w:trPr>
          <w:cantSplit/>
        </w:trPr>
        <w:tc>
          <w:tcPr>
            <w:tcW w:type="dxa" w:w="2951"/>
            <w:tcMar>
              <w:top w:w="85" w:type="dxa"/>
              <w:start w:w="100" w:type="dxa"/>
              <w:bottom w:w="85" w:type="dxa"/>
              <w:end w:w="100" w:type="dxa"/>
            </w:tcMar>
            <w:vAlign w:val="center"/>
            <w:shd w:fill="FFFFFF" w:val="clear"/>
          </w:tcPr>
          <w:p>
            <w:pPr>
              <w:pStyle w:val="Compact"/>
              <w:widowControl/>
              <w:spacing w:before="0" w:after="30" w:line="240" w:lineRule="auto"/>
              <w:jc w:val="left"/>
            </w:pPr>
            <w:r>
              <w:rPr>
                <w:rStyle w:val="VerbatimChar"/>
                <w:rFonts w:ascii="Carlito" w:hAnsi="Carlito" w:eastAsia="Carlito"/>
                <w:color w:val="44515C"/>
                <w:sz w:val="17"/>
              </w:rPr>
              <w:t xml:space="preserve">Application/</w:t>
            </w:r>
          </w:p>
        </w:tc>
        <w:tc>
          <w:tcPr>
            <w:tcW w:type="dxa" w:w="676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Main Spring Boot runtime and application configuration.</w:t>
            </w:r>
          </w:p>
        </w:tc>
      </w:tr>
      <w:tr>
        <w:trPr>
          <w:cantSplit/>
        </w:trPr>
        <w:tc>
          <w:tcPr>
            <w:tcW w:type="dxa" w:w="2951"/>
            <w:tcMar>
              <w:top w:w="85" w:type="dxa"/>
              <w:start w:w="100" w:type="dxa"/>
              <w:bottom w:w="85" w:type="dxa"/>
              <w:end w:w="100" w:type="dxa"/>
            </w:tcMar>
            <w:vAlign w:val="center"/>
            <w:shd w:fill="FFFFFF" w:val="clear"/>
          </w:tcPr>
          <w:p>
            <w:pPr>
              <w:pStyle w:val="Compact"/>
              <w:widowControl/>
              <w:spacing w:before="0" w:after="30" w:line="240" w:lineRule="auto"/>
              <w:jc w:val="left"/>
            </w:pPr>
            <w:r>
              <w:rPr>
                <w:rStyle w:val="VerbatimChar"/>
                <w:rFonts w:ascii="Carlito" w:hAnsi="Carlito" w:eastAsia="Carlito"/>
                <w:color w:val="44515C"/>
                <w:sz w:val="17"/>
              </w:rPr>
              <w:t xml:space="preserve">Authorization/</w:t>
            </w:r>
          </w:p>
        </w:tc>
        <w:tc>
          <w:tcPr>
            <w:tcW w:type="dxa" w:w="676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Identity, authentication, users, roles, permissions, and operator context.</w:t>
            </w:r>
          </w:p>
        </w:tc>
      </w:tr>
      <w:tr>
        <w:trPr>
          <w:cantSplit/>
        </w:trPr>
        <w:tc>
          <w:tcPr>
            <w:tcW w:type="dxa" w:w="2951"/>
            <w:tcMar>
              <w:top w:w="85" w:type="dxa"/>
              <w:start w:w="100" w:type="dxa"/>
              <w:bottom w:w="85" w:type="dxa"/>
              <w:end w:w="100" w:type="dxa"/>
            </w:tcMar>
            <w:vAlign w:val="center"/>
            <w:shd w:fill="FFFFFF" w:val="clear"/>
          </w:tcPr>
          <w:p>
            <w:pPr>
              <w:pStyle w:val="Compact"/>
              <w:widowControl/>
              <w:spacing w:before="0" w:after="30" w:line="240" w:lineRule="auto"/>
              <w:jc w:val="left"/>
            </w:pPr>
            <w:r>
              <w:rPr>
                <w:rStyle w:val="VerbatimChar"/>
                <w:rFonts w:ascii="Carlito" w:hAnsi="Carlito" w:eastAsia="Carlito"/>
                <w:color w:val="44515C"/>
                <w:sz w:val="17"/>
              </w:rPr>
              <w:t xml:space="preserve">ShipmentManagement/</w:t>
            </w:r>
          </w:p>
        </w:tc>
        <w:tc>
          <w:tcPr>
            <w:tcW w:type="dxa" w:w="676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Shipment contracts, domain, adapters, and events.</w:t>
            </w:r>
          </w:p>
        </w:tc>
      </w:tr>
      <w:tr>
        <w:trPr>
          <w:cantSplit/>
        </w:trPr>
        <w:tc>
          <w:tcPr>
            <w:tcW w:type="dxa" w:w="2951"/>
            <w:tcMar>
              <w:top w:w="85" w:type="dxa"/>
              <w:start w:w="100" w:type="dxa"/>
              <w:bottom w:w="85" w:type="dxa"/>
              <w:end w:w="100" w:type="dxa"/>
            </w:tcMar>
            <w:vAlign w:val="center"/>
            <w:shd w:fill="FFFFFF" w:val="clear"/>
          </w:tcPr>
          <w:p>
            <w:pPr>
              <w:pStyle w:val="Compact"/>
              <w:widowControl/>
              <w:spacing w:before="0" w:after="30" w:line="240" w:lineRule="auto"/>
              <w:jc w:val="left"/>
            </w:pPr>
            <w:r>
              <w:rPr>
                <w:rStyle w:val="VerbatimChar"/>
                <w:rFonts w:ascii="Carlito" w:hAnsi="Carlito" w:eastAsia="Carlito"/>
                <w:color w:val="44515C"/>
                <w:sz w:val="17"/>
              </w:rPr>
              <w:t xml:space="preserve">OrganisationStructure/</w:t>
            </w:r>
          </w:p>
        </w:tc>
        <w:tc>
          <w:tcPr>
            <w:tcW w:type="dxa" w:w="676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Organization/operator structure.</w:t>
            </w:r>
          </w:p>
        </w:tc>
      </w:tr>
      <w:tr>
        <w:trPr>
          <w:cantSplit/>
        </w:trPr>
        <w:tc>
          <w:tcPr>
            <w:tcW w:type="dxa" w:w="2951"/>
            <w:tcMar>
              <w:top w:w="85" w:type="dxa"/>
              <w:start w:w="100" w:type="dxa"/>
              <w:bottom w:w="85" w:type="dxa"/>
              <w:end w:w="100" w:type="dxa"/>
            </w:tcMar>
            <w:vAlign w:val="center"/>
            <w:shd w:fill="FFFFFF" w:val="clear"/>
          </w:tcPr>
          <w:p>
            <w:pPr>
              <w:pStyle w:val="Compact"/>
              <w:widowControl/>
              <w:spacing w:before="0" w:after="30" w:line="240" w:lineRule="auto"/>
              <w:jc w:val="left"/>
            </w:pPr>
            <w:r>
              <w:rPr>
                <w:rStyle w:val="VerbatimChar"/>
                <w:rFonts w:ascii="Carlito" w:hAnsi="Carlito" w:eastAsia="Carlito"/>
                <w:color w:val="44515C"/>
                <w:sz w:val="17"/>
              </w:rPr>
              <w:t xml:space="preserve">DepartmentService/</w:t>
            </w:r>
          </w:p>
        </w:tc>
        <w:tc>
          <w:tcPr>
            <w:tcW w:type="dxa" w:w="676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Department capabilities and projections.</w:t>
            </w:r>
          </w:p>
        </w:tc>
      </w:tr>
      <w:tr>
        <w:trPr>
          <w:cantSplit/>
        </w:trPr>
        <w:tc>
          <w:tcPr>
            <w:tcW w:type="dxa" w:w="2951"/>
            <w:tcMar>
              <w:top w:w="85" w:type="dxa"/>
              <w:start w:w="100" w:type="dxa"/>
              <w:bottom w:w="85" w:type="dxa"/>
              <w:end w:w="100" w:type="dxa"/>
            </w:tcMar>
            <w:vAlign w:val="center"/>
            <w:shd w:fill="FFFFFF" w:val="clear"/>
          </w:tcPr>
          <w:p>
            <w:pPr>
              <w:pStyle w:val="Compact"/>
              <w:widowControl/>
              <w:spacing w:before="0" w:after="30" w:line="240" w:lineRule="auto"/>
              <w:jc w:val="left"/>
            </w:pPr>
            <w:r>
              <w:rPr>
                <w:rStyle w:val="VerbatimChar"/>
                <w:rFonts w:ascii="Carlito" w:hAnsi="Carlito" w:eastAsia="Carlito"/>
                <w:color w:val="44515C"/>
                <w:sz w:val="17"/>
              </w:rPr>
              <w:t xml:space="preserve">DeliveryOperation/</w:t>
            </w:r>
          </w:p>
        </w:tc>
        <w:tc>
          <w:tcPr>
            <w:tcW w:type="dxa" w:w="676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Delivery execution.</w:t>
            </w:r>
          </w:p>
        </w:tc>
      </w:tr>
      <w:tr>
        <w:trPr>
          <w:cantSplit/>
        </w:trPr>
        <w:tc>
          <w:tcPr>
            <w:tcW w:type="dxa" w:w="2951"/>
            <w:tcMar>
              <w:top w:w="85" w:type="dxa"/>
              <w:start w:w="100" w:type="dxa"/>
              <w:bottom w:w="85" w:type="dxa"/>
              <w:end w:w="100" w:type="dxa"/>
            </w:tcMar>
            <w:vAlign w:val="center"/>
            <w:shd w:fill="FFFFFF" w:val="clear"/>
          </w:tcPr>
          <w:p>
            <w:pPr>
              <w:pStyle w:val="Compact"/>
              <w:widowControl/>
              <w:spacing w:before="0" w:after="30" w:line="240" w:lineRule="auto"/>
              <w:jc w:val="left"/>
            </w:pPr>
            <w:r>
              <w:rPr>
                <w:rStyle w:val="VerbatimChar"/>
                <w:rFonts w:ascii="Carlito" w:hAnsi="Carlito" w:eastAsia="Carlito"/>
                <w:color w:val="44515C"/>
                <w:sz w:val="17"/>
              </w:rPr>
              <w:t xml:space="preserve">Device/</w:t>
            </w:r>
          </w:p>
        </w:tc>
        <w:tc>
          <w:tcPr>
            <w:tcW w:type="dxa" w:w="676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Device pairing, verification, and authentication.</w:t>
            </w:r>
          </w:p>
        </w:tc>
      </w:tr>
      <w:tr>
        <w:trPr>
          <w:cantSplit/>
        </w:trPr>
        <w:tc>
          <w:tcPr>
            <w:tcW w:type="dxa" w:w="2951"/>
            <w:tcMar>
              <w:top w:w="85" w:type="dxa"/>
              <w:start w:w="100" w:type="dxa"/>
              <w:bottom w:w="85" w:type="dxa"/>
              <w:end w:w="100" w:type="dxa"/>
            </w:tcMar>
            <w:vAlign w:val="center"/>
            <w:shd w:fill="FFFFFF" w:val="clear"/>
          </w:tcPr>
          <w:p>
            <w:pPr>
              <w:pStyle w:val="Compact"/>
              <w:widowControl/>
              <w:spacing w:before="0" w:after="30" w:line="240" w:lineRule="auto"/>
              <w:jc w:val="left"/>
            </w:pPr>
            <w:r>
              <w:rPr>
                <w:rStyle w:val="VerbatimChar"/>
                <w:rFonts w:ascii="Carlito" w:hAnsi="Carlito" w:eastAsia="Carlito"/>
                <w:color w:val="44515C"/>
                <w:sz w:val="17"/>
              </w:rPr>
              <w:t xml:space="preserve">Gateway/</w:t>
            </w:r>
          </w:p>
        </w:tc>
        <w:tc>
          <w:tcPr>
            <w:tcW w:type="dxa" w:w="676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Custom HTTP routing.</w:t>
            </w:r>
          </w:p>
        </w:tc>
      </w:tr>
      <w:tr>
        <w:trPr>
          <w:cantSplit/>
        </w:trPr>
        <w:tc>
          <w:tcPr>
            <w:tcW w:type="dxa" w:w="2951"/>
            <w:tcMar>
              <w:top w:w="85" w:type="dxa"/>
              <w:start w:w="100" w:type="dxa"/>
              <w:bottom w:w="85" w:type="dxa"/>
              <w:end w:w="100" w:type="dxa"/>
            </w:tcMar>
            <w:vAlign w:val="center"/>
            <w:shd w:fill="FFFFFF" w:val="clear"/>
          </w:tcPr>
          <w:p>
            <w:pPr>
              <w:pStyle w:val="Compact"/>
              <w:widowControl/>
              <w:spacing w:before="0" w:after="30" w:line="240" w:lineRule="auto"/>
              <w:jc w:val="left"/>
            </w:pPr>
            <w:r>
              <w:rPr>
                <w:rStyle w:val="VerbatimChar"/>
                <w:rFonts w:ascii="Carlito" w:hAnsi="Carlito" w:eastAsia="Carlito"/>
                <w:color w:val="44515C"/>
                <w:sz w:val="17"/>
              </w:rPr>
              <w:t xml:space="preserve">EurekaServer/</w:t>
            </w:r>
          </w:p>
        </w:tc>
        <w:tc>
          <w:tcPr>
            <w:tcW w:type="dxa" w:w="676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Service registry.</w:t>
            </w:r>
          </w:p>
        </w:tc>
      </w:tr>
      <w:tr>
        <w:trPr>
          <w:cantSplit/>
        </w:trPr>
        <w:tc>
          <w:tcPr>
            <w:tcW w:type="dxa" w:w="2951"/>
            <w:tcMar>
              <w:top w:w="85" w:type="dxa"/>
              <w:start w:w="100" w:type="dxa"/>
              <w:bottom w:w="85" w:type="dxa"/>
              <w:end w:w="100" w:type="dxa"/>
            </w:tcMar>
            <w:vAlign w:val="center"/>
            <w:shd w:fill="FFFFFF" w:val="clear"/>
          </w:tcPr>
          <w:p>
            <w:pPr>
              <w:pStyle w:val="Compact"/>
              <w:widowControl/>
              <w:spacing w:before="0" w:after="30" w:line="240" w:lineRule="auto"/>
              <w:jc w:val="left"/>
            </w:pPr>
            <w:r>
              <w:rPr>
                <w:rStyle w:val="VerbatimChar"/>
                <w:rFonts w:ascii="Carlito" w:hAnsi="Carlito" w:eastAsia="Carlito"/>
                <w:color w:val="44515C"/>
                <w:sz w:val="17"/>
              </w:rPr>
              <w:t xml:space="preserve">ArchitectureTest/</w:t>
            </w:r>
          </w:p>
        </w:tc>
        <w:tc>
          <w:tcPr>
            <w:tcW w:type="dxa" w:w="676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Architecture fitness tests.</w:t>
            </w:r>
          </w:p>
        </w:tc>
      </w:tr>
      <w:tr>
        <w:trPr>
          <w:cantSplit/>
        </w:trPr>
        <w:tc>
          <w:tcPr>
            <w:tcW w:type="dxa" w:w="2951"/>
            <w:tcMar>
              <w:top w:w="85" w:type="dxa"/>
              <w:start w:w="100" w:type="dxa"/>
              <w:bottom w:w="85" w:type="dxa"/>
              <w:end w:w="100" w:type="dxa"/>
            </w:tcMar>
            <w:vAlign w:val="center"/>
            <w:shd w:fill="FFFFFF" w:val="clear"/>
          </w:tcPr>
          <w:p>
            <w:pPr>
              <w:pStyle w:val="Compact"/>
              <w:widowControl/>
              <w:spacing w:before="0" w:after="30" w:line="240" w:lineRule="auto"/>
              <w:jc w:val="left"/>
            </w:pPr>
            <w:r>
              <w:rPr>
                <w:rStyle w:val="VerbatimChar"/>
                <w:rFonts w:ascii="Carlito" w:hAnsi="Carlito" w:eastAsia="Carlito"/>
                <w:color w:val="44515C"/>
                <w:sz w:val="17"/>
              </w:rPr>
              <w:t xml:space="preserve">E2E/</w:t>
            </w:r>
          </w:p>
        </w:tc>
        <w:tc>
          <w:tcPr>
            <w:tcW w:type="dxa" w:w="676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Cross-component end-to-end tests.</w:t>
            </w:r>
          </w:p>
        </w:tc>
      </w:tr>
      <w:tr>
        <w:trPr>
          <w:cantSplit/>
        </w:trPr>
        <w:tc>
          <w:tcPr>
            <w:tcW w:type="dxa" w:w="2951"/>
            <w:tcMar>
              <w:top w:w="85" w:type="dxa"/>
              <w:start w:w="100" w:type="dxa"/>
              <w:bottom w:w="85" w:type="dxa"/>
              <w:end w:w="100" w:type="dxa"/>
            </w:tcMar>
            <w:vAlign w:val="center"/>
            <w:shd w:fill="FFFFFF" w:val="clear"/>
          </w:tcPr>
          <w:p>
            <w:pPr>
              <w:pStyle w:val="Compact"/>
              <w:widowControl/>
              <w:spacing w:before="0" w:after="30" w:line="240" w:lineRule="auto"/>
              <w:jc w:val="left"/>
            </w:pPr>
            <w:r>
              <w:rPr>
                <w:rStyle w:val="VerbatimChar"/>
                <w:rFonts w:ascii="Carlito" w:hAnsi="Carlito" w:eastAsia="Carlito"/>
                <w:color w:val="44515C"/>
                <w:sz w:val="17"/>
              </w:rPr>
              <w:t xml:space="preserve">docker-compose.yml</w:t>
            </w:r>
          </w:p>
        </w:tc>
        <w:tc>
          <w:tcPr>
            <w:tcW w:type="dxa" w:w="676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Local multi-service infrastructure and selected applications.</w:t>
            </w:r>
          </w:p>
        </w:tc>
      </w:tr>
      <w:tr>
        <w:trPr>
          <w:cantSplit/>
        </w:trPr>
        <w:tc>
          <w:tcPr>
            <w:tcW w:type="dxa" w:w="2951"/>
            <w:tcMar>
              <w:top w:w="85" w:type="dxa"/>
              <w:start w:w="100" w:type="dxa"/>
              <w:bottom w:w="85" w:type="dxa"/>
              <w:end w:w="100" w:type="dxa"/>
            </w:tcMar>
            <w:vAlign w:val="center"/>
            <w:shd w:fill="FFFFFF" w:val="clear"/>
          </w:tcPr>
          <w:p>
            <w:pPr>
              <w:pStyle w:val="Compact"/>
              <w:widowControl/>
              <w:spacing w:before="0" w:after="30" w:line="240" w:lineRule="auto"/>
              <w:jc w:val="left"/>
            </w:pPr>
            <w:r>
              <w:rPr>
                <w:rStyle w:val="VerbatimChar"/>
                <w:rFonts w:ascii="Carlito" w:hAnsi="Carlito" w:eastAsia="Carlito"/>
                <w:color w:val="44515C"/>
                <w:sz w:val="17"/>
              </w:rPr>
              <w:t xml:space="preserve">Dockerfile</w:t>
            </w:r>
          </w:p>
        </w:tc>
        <w:tc>
          <w:tcPr>
            <w:tcW w:type="dxa" w:w="676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Main application multi-stage image build.</w:t>
            </w:r>
          </w:p>
        </w:tc>
      </w:tr>
      <w:tr>
        <w:trPr>
          <w:cantSplit/>
        </w:trPr>
        <w:tc>
          <w:tcPr>
            <w:tcW w:type="dxa" w:w="2951"/>
            <w:tcMar>
              <w:top w:w="85" w:type="dxa"/>
              <w:start w:w="100" w:type="dxa"/>
              <w:bottom w:w="85" w:type="dxa"/>
              <w:end w:w="100" w:type="dxa"/>
            </w:tcMar>
            <w:vAlign w:val="center"/>
            <w:shd w:fill="FFFFFF" w:val="clear"/>
          </w:tcPr>
          <w:p>
            <w:pPr>
              <w:pStyle w:val="Compact"/>
              <w:widowControl/>
              <w:spacing w:before="0" w:after="30" w:line="240" w:lineRule="auto"/>
              <w:jc w:val="left"/>
            </w:pPr>
            <w:r>
              <w:rPr>
                <w:rStyle w:val="VerbatimChar"/>
                <w:rFonts w:ascii="Carlito" w:hAnsi="Carlito" w:eastAsia="Carlito"/>
                <w:color w:val="44515C"/>
                <w:sz w:val="17"/>
              </w:rPr>
              <w:t xml:space="preserve">Jenkinsfile</w:t>
            </w:r>
          </w:p>
        </w:tc>
        <w:tc>
          <w:tcPr>
            <w:tcW w:type="dxa" w:w="676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Jenkins pipeline definition.</w:t>
            </w:r>
          </w:p>
        </w:tc>
      </w:tr>
      <w:tr>
        <w:trPr>
          <w:cantSplit/>
        </w:trPr>
        <w:tc>
          <w:tcPr>
            <w:tcW w:type="dxa" w:w="2951"/>
            <w:tcMar>
              <w:top w:w="85" w:type="dxa"/>
              <w:start w:w="100" w:type="dxa"/>
              <w:bottom w:w="85" w:type="dxa"/>
              <w:end w:w="100" w:type="dxa"/>
            </w:tcMar>
            <w:vAlign w:val="center"/>
            <w:shd w:fill="FFFFFF" w:val="clear"/>
          </w:tcPr>
          <w:p>
            <w:pPr>
              <w:pStyle w:val="Compact"/>
              <w:widowControl/>
              <w:spacing w:before="0" w:after="30" w:line="240" w:lineRule="auto"/>
              <w:jc w:val="left"/>
            </w:pPr>
            <w:r>
              <w:rPr>
                <w:rStyle w:val="VerbatimChar"/>
                <w:rFonts w:ascii="Carlito" w:hAnsi="Carlito" w:eastAsia="Carlito"/>
                <w:color w:val="44515C"/>
                <w:sz w:val="17"/>
              </w:rPr>
              <w:t xml:space="preserve">.gitlab-ci.yml</w:t>
            </w:r>
          </w:p>
        </w:tc>
        <w:tc>
          <w:tcPr>
            <w:tcW w:type="dxa" w:w="676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GitLab CI pipeline definition.</w:t>
            </w:r>
          </w:p>
        </w:tc>
      </w:tr>
      <w:tr>
        <w:trPr>
          <w:cantSplit/>
        </w:trPr>
        <w:tc>
          <w:tcPr>
            <w:tcW w:type="dxa" w:w="2951"/>
            <w:tcMar>
              <w:top w:w="85" w:type="dxa"/>
              <w:start w:w="100" w:type="dxa"/>
              <w:bottom w:w="85" w:type="dxa"/>
              <w:end w:w="100" w:type="dxa"/>
            </w:tcMar>
            <w:vAlign w:val="center"/>
            <w:shd w:fill="FFFFFF" w:val="clear"/>
          </w:tcPr>
          <w:p>
            <w:pPr>
              <w:pStyle w:val="Compact"/>
              <w:widowControl/>
              <w:spacing w:before="0" w:after="30" w:line="240" w:lineRule="auto"/>
              <w:jc w:val="left"/>
            </w:pPr>
            <w:r>
              <w:rPr>
                <w:rStyle w:val="VerbatimChar"/>
                <w:rFonts w:ascii="Carlito" w:hAnsi="Carlito" w:eastAsia="Carlito"/>
                <w:color w:val="44515C"/>
                <w:sz w:val="17"/>
              </w:rPr>
              <w:t xml:space="preserve">changelog/</w:t>
            </w:r>
            <w:r>
              <w:rPr>
                <w:rFonts w:ascii="Carlito" w:hAnsi="Carlito" w:eastAsia="Carlito"/>
                <w:color w:val="44515C"/>
                <w:sz w:val="17"/>
              </w:rPr>
              <w:t xml:space="preserve"> </w:t>
            </w:r>
            <w:r>
              <w:rPr>
                <w:rFonts w:ascii="Carlito" w:hAnsi="Carlito" w:eastAsia="Carlito"/>
                <w:color w:val="44515C"/>
                <w:sz w:val="17"/>
              </w:rPr>
              <w:t xml:space="preserve">or release notes</w:t>
            </w:r>
          </w:p>
        </w:tc>
        <w:tc>
          <w:tcPr>
            <w:tcW w:type="dxa" w:w="676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Current-release feature and migration summary.</w:t>
            </w:r>
          </w:p>
        </w:tc>
      </w:tr>
      <w:tr>
        <w:trPr>
          <w:cantSplit/>
        </w:trPr>
        <w:tc>
          <w:tcPr>
            <w:tcW w:type="dxa" w:w="2951"/>
            <w:tcMar>
              <w:top w:w="85" w:type="dxa"/>
              <w:start w:w="100" w:type="dxa"/>
              <w:bottom w:w="85" w:type="dxa"/>
              <w:end w:w="100" w:type="dxa"/>
            </w:tcMar>
            <w:vAlign w:val="center"/>
            <w:shd w:fill="FFFFFF" w:val="clear"/>
          </w:tcPr>
          <w:p>
            <w:pPr>
              <w:pStyle w:val="Compact"/>
              <w:widowControl/>
              <w:spacing w:before="0" w:after="30" w:line="240" w:lineRule="auto"/>
              <w:jc w:val="left"/>
            </w:pPr>
            <w:r>
              <w:rPr>
                <w:rStyle w:val="VerbatimChar"/>
                <w:rFonts w:ascii="Carlito" w:hAnsi="Carlito" w:eastAsia="Carlito"/>
                <w:color w:val="44515C"/>
                <w:sz w:val="17"/>
              </w:rPr>
              <w:t xml:space="preserve">LICENSE</w:t>
            </w:r>
          </w:p>
        </w:tc>
        <w:tc>
          <w:tcPr>
            <w:tcW w:type="dxa" w:w="676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Present but not a recognizable license in the reviewed repository.</w:t>
            </w:r>
          </w:p>
        </w:tc>
      </w:tr>
    </w:tbl>
    <w:p>
      <w:bookmarkStart w:id="660" w:name="mv2_h_0289"/>
      <w:pPr>
        <w:pStyle w:val="Heading2"/>
        <w:keepNext/>
        <w:widowControl/>
        <w:spacing w:after="100"/>
      </w:pPr>
      <w:r>
        <w:t xml:space="preserve">A.2 Module Classification</w:t>
      </w:r>
      <w:bookmarkEnd w:id="660"/>
    </w:p>
    <w:tbl>
      <w:tblPr>
        <w:tblStyle w:val="Table"/>
        <w:tblW w:type="pct" w:w="5000"/>
        <w:jc w:val="center"/>
        <w:tblLayout w:type="fixed"/>
        <w:tblLook w:firstRow="1" w:lastRow="0" w:firstColumn="0" w:lastColumn="0" w:noHBand="0" w:noVBand="0" w:val="0020"/>
        <w:tblBorders>
          <w:top w:val="single" w:sz="4" w:space="0" w:color="D7E0E6"/>
          <w:left w:val="single" w:sz="4" w:space="0" w:color="D7E0E6"/>
          <w:bottom w:val="single" w:sz="4" w:space="0" w:color="D7E0E6"/>
          <w:right w:val="single" w:sz="4" w:space="0" w:color="D7E0E6"/>
          <w:insideH w:val="single" w:sz="4" w:space="0" w:color="D7E0E6"/>
          <w:insideV w:val="single" w:sz="4" w:space="0" w:color="D7E0E6"/>
        </w:tblBorders>
      </w:tblPr>
      <w:tblGrid>
        <w:gridCol w:w="3960"/>
        <w:gridCol w:w="3960"/>
      </w:tblGrid>
      <w:tr>
        <w:trPr>
          <w:tblHeader w:val="true"/>
          <w:cantSplit/>
        </w:trPr>
        <w:tc>
          <w:tcPr>
            <w:tcW w:type="dxa" w:w="2951"/>
            <w:tcMar>
              <w:top w:w="85" w:type="dxa"/>
              <w:start w:w="100" w:type="dxa"/>
              <w:bottom w:w="85" w:type="dxa"/>
              <w:end w:w="100" w:type="dxa"/>
            </w:tcMar>
            <w:vAlign w:val="center"/>
            <w:shd w:fill="17324D" w:val="clear"/>
          </w:tcPr>
          <w:p>
            <w:pPr>
              <w:pStyle w:val="Compact"/>
              <w:widowControl/>
              <w:spacing w:before="0" w:after="30" w:line="240" w:lineRule="auto"/>
              <w:jc w:val="left"/>
            </w:pPr>
            <w:r>
              <w:rPr>
                <w:rFonts w:ascii="Noto Sans" w:hAnsi="Noto Sans" w:eastAsia="Noto Sans"/>
                <w:b/>
                <w:color w:val="FFFFFF"/>
                <w:sz w:val="17"/>
              </w:rPr>
              <w:t xml:space="preserve">Classification</w:t>
            </w:r>
          </w:p>
        </w:tc>
        <w:tc>
          <w:tcPr>
            <w:tcW w:type="dxa" w:w="6768"/>
            <w:tcMar>
              <w:top w:w="85" w:type="dxa"/>
              <w:start w:w="100" w:type="dxa"/>
              <w:bottom w:w="85" w:type="dxa"/>
              <w:end w:w="100" w:type="dxa"/>
            </w:tcMar>
            <w:vAlign w:val="center"/>
            <w:shd w:fill="17324D" w:val="clear"/>
          </w:tcPr>
          <w:p>
            <w:pPr>
              <w:pStyle w:val="Compact"/>
              <w:widowControl/>
              <w:spacing w:before="0" w:after="30" w:line="240" w:lineRule="auto"/>
              <w:jc w:val="left"/>
            </w:pPr>
            <w:r>
              <w:rPr>
                <w:rFonts w:ascii="Noto Sans" w:hAnsi="Noto Sans" w:eastAsia="Noto Sans"/>
                <w:b/>
                <w:color w:val="FFFFFF"/>
                <w:sz w:val="17"/>
              </w:rPr>
              <w:t xml:space="preserve">Modules/directories</w:t>
            </w:r>
          </w:p>
        </w:tc>
      </w:tr>
      <w:tr>
        <w:trPr>
          <w:cantSplit/>
        </w:trPr>
        <w:tc>
          <w:tcPr>
            <w:tcW w:type="dxa" w:w="2951"/>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Composition/runtime</w:t>
            </w:r>
          </w:p>
        </w:tc>
        <w:tc>
          <w:tcPr>
            <w:tcW w:type="dxa" w:w="676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Application.</w:t>
            </w:r>
          </w:p>
        </w:tc>
      </w:tr>
      <w:tr>
        <w:trPr>
          <w:cantSplit/>
        </w:trPr>
        <w:tc>
          <w:tcPr>
            <w:tcW w:type="dxa" w:w="2951"/>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Identity/organization</w:t>
            </w:r>
          </w:p>
        </w:tc>
        <w:tc>
          <w:tcPr>
            <w:tcW w:type="dxa" w:w="676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Authorization, OrganisationStructure, DepartmentService.</w:t>
            </w:r>
          </w:p>
        </w:tc>
      </w:tr>
      <w:tr>
        <w:trPr>
          <w:cantSplit/>
        </w:trPr>
        <w:tc>
          <w:tcPr>
            <w:tcW w:type="dxa" w:w="2951"/>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Core logistics</w:t>
            </w:r>
          </w:p>
        </w:tc>
        <w:tc>
          <w:tcPr>
            <w:tcW w:type="dxa" w:w="676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ShipmentManagement, DeliveryOperation, LogisticsOrchestrator, CrossLogistics, ProcessHub.</w:t>
            </w:r>
          </w:p>
        </w:tc>
      </w:tr>
      <w:tr>
        <w:trPr>
          <w:cantSplit/>
        </w:trPr>
        <w:tc>
          <w:tcPr>
            <w:tcW w:type="dxa" w:w="2951"/>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Routing/location</w:t>
            </w:r>
          </w:p>
        </w:tc>
        <w:tc>
          <w:tcPr>
            <w:tcW w:type="dxa" w:w="676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PathFinder, DestinationDetermination, GeocodingService, RouteTrackerFlow.</w:t>
            </w:r>
          </w:p>
        </w:tc>
      </w:tr>
      <w:tr>
        <w:trPr>
          <w:cantSplit/>
        </w:trPr>
        <w:tc>
          <w:tcPr>
            <w:tcW w:type="dxa" w:w="2951"/>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Resources</w:t>
            </w:r>
          </w:p>
        </w:tc>
        <w:tc>
          <w:tcPr>
            <w:tcW w:type="dxa" w:w="676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Device, SupplierServiceManagement, TransportAssets, DriverHub, AssetConverter.</w:t>
            </w:r>
          </w:p>
        </w:tc>
      </w:tr>
      <w:tr>
        <w:trPr>
          <w:cantSplit/>
        </w:trPr>
        <w:tc>
          <w:tcPr>
            <w:tcW w:type="dxa" w:w="2951"/>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Communication/content</w:t>
            </w:r>
          </w:p>
        </w:tc>
        <w:tc>
          <w:tcPr>
            <w:tcW w:type="dxa" w:w="676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DocumentManager, MessageProvider, MailService.</w:t>
            </w:r>
          </w:p>
        </w:tc>
      </w:tr>
      <w:tr>
        <w:trPr>
          <w:cantSplit/>
        </w:trPr>
        <w:tc>
          <w:tcPr>
            <w:tcW w:type="dxa" w:w="2951"/>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Technical foundations</w:t>
            </w:r>
          </w:p>
        </w:tc>
        <w:tc>
          <w:tcPr>
            <w:tcW w:type="dxa" w:w="676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Common, Utility, ExceptionHandler, ManagerTools.</w:t>
            </w:r>
          </w:p>
        </w:tc>
      </w:tr>
      <w:tr>
        <w:trPr>
          <w:cantSplit/>
        </w:trPr>
        <w:tc>
          <w:tcPr>
            <w:tcW w:type="dxa" w:w="2951"/>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Platform services</w:t>
            </w:r>
          </w:p>
        </w:tc>
        <w:tc>
          <w:tcPr>
            <w:tcW w:type="dxa" w:w="676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Gateway, EurekaServer, SoftwareConfiguration.</w:t>
            </w:r>
          </w:p>
        </w:tc>
      </w:tr>
      <w:tr>
        <w:trPr>
          <w:cantSplit/>
        </w:trPr>
        <w:tc>
          <w:tcPr>
            <w:tcW w:type="dxa" w:w="2951"/>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Specialized services</w:t>
            </w:r>
          </w:p>
        </w:tc>
        <w:tc>
          <w:tcPr>
            <w:tcW w:type="dxa" w:w="676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ReturningTrackManager, PalletHandlingManager, DeliveryProtection.</w:t>
            </w:r>
          </w:p>
        </w:tc>
      </w:tr>
      <w:tr>
        <w:trPr>
          <w:cantSplit/>
        </w:trPr>
        <w:tc>
          <w:tcPr>
            <w:tcW w:type="dxa" w:w="2951"/>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Verification</w:t>
            </w:r>
          </w:p>
        </w:tc>
        <w:tc>
          <w:tcPr>
            <w:tcW w:type="dxa" w:w="676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ArchitectureTest, E2E.</w:t>
            </w:r>
          </w:p>
        </w:tc>
      </w:tr>
    </w:tbl>
    <w:p>
      <w:bookmarkStart w:id="662" w:name="mv2_h_0291"/>
      <w:pPr>
        <w:pStyle w:val="Heading1"/>
        <w:keepNext/>
        <w:widowControl/>
      </w:pPr>
      <w:r>
        <w:t xml:space="preserve">Appendix B. Root Reactor Module Inventory</w:t>
      </w:r>
      <w:bookmarkEnd w:id="662"/>
    </w:p>
    <w:p>
      <w:bookmarkStart w:id="663" w:name="mv2_h_0292"/>
      <w:pPr>
        <w:pStyle w:val="Heading2"/>
        <w:keepNext/>
        <w:widowControl/>
      </w:pPr>
      <w:r>
        <w:t xml:space="preserve">B.1 Active Modules</w:t>
      </w:r>
      <w:bookmarkEnd w:id="663"/>
    </w:p>
    <w:p>
      <w:pPr>
        <w:pStyle w:val="FirstParagraph"/>
        <w:widowControl/>
        <w:jc w:val="left"/>
      </w:pPr>
      <w:r>
        <w:t xml:space="preserve">The root reactor enumerates these modules in its active project model:</w:t>
      </w:r>
    </w:p>
    <w:p>
      <w:pPr>
        <w:pStyle w:val="SourceCode"/>
        <w:widowControl/>
        <w:shd w:val="clear" w:fill="F3F6F8"/>
        <w:pBdr>
          <w:left w:val="single" w:sz="14" w:space="6" w:color="0F7C80"/>
        </w:pBdr>
      </w:pPr>
      <w:r>
        <w:rPr>
          <w:rStyle w:val="VerbatimChar"/>
          <w:rFonts w:ascii="DejaVu Sans Mono" w:hAnsi="DejaVu Sans Mono" w:eastAsia="DejaVu Sans Mono"/>
          <w:color w:val="10263B"/>
          <w:sz w:val="17"/>
        </w:rPr>
        <w:t xml:space="preserve">Application</w:t>
      </w:r>
      <w:r>
        <w:rPr>
          <w:rFonts w:ascii="DejaVu Sans Mono" w:hAnsi="DejaVu Sans Mono" w:eastAsia="DejaVu Sans Mono"/>
          <w:color w:val="10263B"/>
          <w:sz w:val="17"/>
        </w:rPr>
        <w:br/>
      </w:r>
      <w:r>
        <w:rPr>
          <w:rStyle w:val="VerbatimChar"/>
          <w:rFonts w:ascii="DejaVu Sans Mono" w:hAnsi="DejaVu Sans Mono" w:eastAsia="DejaVu Sans Mono"/>
          <w:color w:val="10263B"/>
          <w:sz w:val="17"/>
        </w:rPr>
        <w:t xml:space="preserve">ShipmentManagement</w:t>
      </w:r>
      <w:r>
        <w:rPr>
          <w:rFonts w:ascii="DejaVu Sans Mono" w:hAnsi="DejaVu Sans Mono" w:eastAsia="DejaVu Sans Mono"/>
          <w:color w:val="10263B"/>
          <w:sz w:val="17"/>
        </w:rPr>
        <w:br/>
      </w:r>
      <w:r>
        <w:rPr>
          <w:rStyle w:val="VerbatimChar"/>
          <w:rFonts w:ascii="DejaVu Sans Mono" w:hAnsi="DejaVu Sans Mono" w:eastAsia="DejaVu Sans Mono"/>
          <w:color w:val="10263B"/>
          <w:sz w:val="17"/>
        </w:rPr>
        <w:t xml:space="preserve">MailService</w:t>
      </w:r>
      <w:r>
        <w:rPr>
          <w:rFonts w:ascii="DejaVu Sans Mono" w:hAnsi="DejaVu Sans Mono" w:eastAsia="DejaVu Sans Mono"/>
          <w:color w:val="10263B"/>
          <w:sz w:val="17"/>
        </w:rPr>
        <w:br/>
      </w:r>
      <w:r>
        <w:rPr>
          <w:rStyle w:val="VerbatimChar"/>
          <w:rFonts w:ascii="DejaVu Sans Mono" w:hAnsi="DejaVu Sans Mono" w:eastAsia="DejaVu Sans Mono"/>
          <w:color w:val="10263B"/>
          <w:sz w:val="17"/>
        </w:rPr>
        <w:t xml:space="preserve">DepartmentService</w:t>
      </w:r>
      <w:r>
        <w:rPr>
          <w:rFonts w:ascii="DejaVu Sans Mono" w:hAnsi="DejaVu Sans Mono" w:eastAsia="DejaVu Sans Mono"/>
          <w:color w:val="10263B"/>
          <w:sz w:val="17"/>
        </w:rPr>
        <w:br/>
      </w:r>
      <w:r>
        <w:rPr>
          <w:rStyle w:val="VerbatimChar"/>
          <w:rFonts w:ascii="DejaVu Sans Mono" w:hAnsi="DejaVu Sans Mono" w:eastAsia="DejaVu Sans Mono"/>
          <w:color w:val="10263B"/>
          <w:sz w:val="17"/>
        </w:rPr>
        <w:t xml:space="preserve">OrganisationStructure</w:t>
      </w:r>
      <w:r>
        <w:rPr>
          <w:rFonts w:ascii="DejaVu Sans Mono" w:hAnsi="DejaVu Sans Mono" w:eastAsia="DejaVu Sans Mono"/>
          <w:color w:val="10263B"/>
          <w:sz w:val="17"/>
        </w:rPr>
        <w:br/>
      </w:r>
      <w:r>
        <w:rPr>
          <w:rStyle w:val="VerbatimChar"/>
          <w:rFonts w:ascii="DejaVu Sans Mono" w:hAnsi="DejaVu Sans Mono" w:eastAsia="DejaVu Sans Mono"/>
          <w:color w:val="10263B"/>
          <w:sz w:val="17"/>
        </w:rPr>
        <w:t xml:space="preserve">DeliveryOperation</w:t>
      </w:r>
      <w:r>
        <w:rPr>
          <w:rFonts w:ascii="DejaVu Sans Mono" w:hAnsi="DejaVu Sans Mono" w:eastAsia="DejaVu Sans Mono"/>
          <w:color w:val="10263B"/>
          <w:sz w:val="17"/>
        </w:rPr>
        <w:br/>
      </w:r>
      <w:r>
        <w:rPr>
          <w:rStyle w:val="VerbatimChar"/>
          <w:rFonts w:ascii="DejaVu Sans Mono" w:hAnsi="DejaVu Sans Mono" w:eastAsia="DejaVu Sans Mono"/>
          <w:color w:val="10263B"/>
          <w:sz w:val="17"/>
        </w:rPr>
        <w:t xml:space="preserve">PathFinder</w:t>
      </w:r>
      <w:r>
        <w:rPr>
          <w:rFonts w:ascii="DejaVu Sans Mono" w:hAnsi="DejaVu Sans Mono" w:eastAsia="DejaVu Sans Mono"/>
          <w:color w:val="10263B"/>
          <w:sz w:val="17"/>
        </w:rPr>
        <w:br/>
      </w:r>
      <w:r>
        <w:rPr>
          <w:rStyle w:val="VerbatimChar"/>
          <w:rFonts w:ascii="DejaVu Sans Mono" w:hAnsi="DejaVu Sans Mono" w:eastAsia="DejaVu Sans Mono"/>
          <w:color w:val="10263B"/>
          <w:sz w:val="17"/>
        </w:rPr>
        <w:t xml:space="preserve">Authorization</w:t>
      </w:r>
      <w:r>
        <w:rPr>
          <w:rFonts w:ascii="DejaVu Sans Mono" w:hAnsi="DejaVu Sans Mono" w:eastAsia="DejaVu Sans Mono"/>
          <w:color w:val="10263B"/>
          <w:sz w:val="17"/>
        </w:rPr>
        <w:br/>
      </w:r>
      <w:r>
        <w:rPr>
          <w:rStyle w:val="VerbatimChar"/>
          <w:rFonts w:ascii="DejaVu Sans Mono" w:hAnsi="DejaVu Sans Mono" w:eastAsia="DejaVu Sans Mono"/>
          <w:color w:val="10263B"/>
          <w:sz w:val="17"/>
        </w:rPr>
        <w:t xml:space="preserve">Utility</w:t>
      </w:r>
      <w:r>
        <w:rPr>
          <w:rFonts w:ascii="DejaVu Sans Mono" w:hAnsi="DejaVu Sans Mono" w:eastAsia="DejaVu Sans Mono"/>
          <w:color w:val="10263B"/>
          <w:sz w:val="17"/>
        </w:rPr>
        <w:br/>
      </w:r>
      <w:r>
        <w:rPr>
          <w:rStyle w:val="VerbatimChar"/>
          <w:rFonts w:ascii="DejaVu Sans Mono" w:hAnsi="DejaVu Sans Mono" w:eastAsia="DejaVu Sans Mono"/>
          <w:color w:val="10263B"/>
          <w:sz w:val="17"/>
        </w:rPr>
        <w:t xml:space="preserve">DestinationDetermination</w:t>
      </w:r>
      <w:r>
        <w:rPr>
          <w:rFonts w:ascii="DejaVu Sans Mono" w:hAnsi="DejaVu Sans Mono" w:eastAsia="DejaVu Sans Mono"/>
          <w:color w:val="10263B"/>
          <w:sz w:val="17"/>
        </w:rPr>
        <w:br/>
      </w:r>
      <w:r>
        <w:rPr>
          <w:rStyle w:val="VerbatimChar"/>
          <w:rFonts w:ascii="DejaVu Sans Mono" w:hAnsi="DejaVu Sans Mono" w:eastAsia="DejaVu Sans Mono"/>
          <w:color w:val="10263B"/>
          <w:sz w:val="17"/>
        </w:rPr>
        <w:t xml:space="preserve">DocumentManager</w:t>
      </w:r>
      <w:r>
        <w:rPr>
          <w:rFonts w:ascii="DejaVu Sans Mono" w:hAnsi="DejaVu Sans Mono" w:eastAsia="DejaVu Sans Mono"/>
          <w:color w:val="10263B"/>
          <w:sz w:val="17"/>
        </w:rPr>
        <w:br/>
      </w:r>
      <w:r>
        <w:rPr>
          <w:rStyle w:val="VerbatimChar"/>
          <w:rFonts w:ascii="DejaVu Sans Mono" w:hAnsi="DejaVu Sans Mono" w:eastAsia="DejaVu Sans Mono"/>
          <w:color w:val="10263B"/>
          <w:sz w:val="17"/>
        </w:rPr>
        <w:t xml:space="preserve">ExceptionHandler</w:t>
      </w:r>
      <w:r>
        <w:rPr>
          <w:rFonts w:ascii="DejaVu Sans Mono" w:hAnsi="DejaVu Sans Mono" w:eastAsia="DejaVu Sans Mono"/>
          <w:color w:val="10263B"/>
          <w:sz w:val="17"/>
        </w:rPr>
        <w:br/>
      </w:r>
      <w:r>
        <w:rPr>
          <w:rStyle w:val="VerbatimChar"/>
          <w:rFonts w:ascii="DejaVu Sans Mono" w:hAnsi="DejaVu Sans Mono" w:eastAsia="DejaVu Sans Mono"/>
          <w:color w:val="10263B"/>
          <w:sz w:val="17"/>
        </w:rPr>
        <w:t xml:space="preserve">Device</w:t>
      </w:r>
      <w:r>
        <w:rPr>
          <w:rFonts w:ascii="DejaVu Sans Mono" w:hAnsi="DejaVu Sans Mono" w:eastAsia="DejaVu Sans Mono"/>
          <w:color w:val="10263B"/>
          <w:sz w:val="17"/>
        </w:rPr>
        <w:br/>
      </w:r>
      <w:r>
        <w:rPr>
          <w:rStyle w:val="VerbatimChar"/>
          <w:rFonts w:ascii="DejaVu Sans Mono" w:hAnsi="DejaVu Sans Mono" w:eastAsia="DejaVu Sans Mono"/>
          <w:color w:val="10263B"/>
          <w:sz w:val="17"/>
        </w:rPr>
        <w:t xml:space="preserve">ArchitectureTest</w:t>
      </w:r>
      <w:r>
        <w:rPr>
          <w:rFonts w:ascii="DejaVu Sans Mono" w:hAnsi="DejaVu Sans Mono" w:eastAsia="DejaVu Sans Mono"/>
          <w:color w:val="10263B"/>
          <w:sz w:val="17"/>
        </w:rPr>
        <w:br/>
      </w:r>
      <w:r>
        <w:rPr>
          <w:rStyle w:val="VerbatimChar"/>
          <w:rFonts w:ascii="DejaVu Sans Mono" w:hAnsi="DejaVu Sans Mono" w:eastAsia="DejaVu Sans Mono"/>
          <w:color w:val="10263B"/>
          <w:sz w:val="17"/>
        </w:rPr>
        <w:t xml:space="preserve">ManagerTools</w:t>
      </w:r>
      <w:r>
        <w:rPr>
          <w:rFonts w:ascii="DejaVu Sans Mono" w:hAnsi="DejaVu Sans Mono" w:eastAsia="DejaVu Sans Mono"/>
          <w:color w:val="10263B"/>
          <w:sz w:val="17"/>
        </w:rPr>
        <w:br/>
      </w:r>
      <w:r>
        <w:rPr>
          <w:rStyle w:val="VerbatimChar"/>
          <w:rFonts w:ascii="DejaVu Sans Mono" w:hAnsi="DejaVu Sans Mono" w:eastAsia="DejaVu Sans Mono"/>
          <w:color w:val="10263B"/>
          <w:sz w:val="17"/>
        </w:rPr>
        <w:t xml:space="preserve">E2E</w:t>
      </w:r>
      <w:r>
        <w:rPr>
          <w:rFonts w:ascii="DejaVu Sans Mono" w:hAnsi="DejaVu Sans Mono" w:eastAsia="DejaVu Sans Mono"/>
          <w:color w:val="10263B"/>
          <w:sz w:val="17"/>
        </w:rPr>
        <w:br/>
      </w:r>
      <w:r>
        <w:rPr>
          <w:rStyle w:val="VerbatimChar"/>
          <w:rFonts w:ascii="DejaVu Sans Mono" w:hAnsi="DejaVu Sans Mono" w:eastAsia="DejaVu Sans Mono"/>
          <w:color w:val="10263B"/>
          <w:sz w:val="17"/>
        </w:rPr>
        <w:t xml:space="preserve">Common</w:t>
      </w:r>
      <w:r>
        <w:rPr>
          <w:rFonts w:ascii="DejaVu Sans Mono" w:hAnsi="DejaVu Sans Mono" w:eastAsia="DejaVu Sans Mono"/>
          <w:color w:val="10263B"/>
          <w:sz w:val="17"/>
        </w:rPr>
        <w:br/>
      </w:r>
      <w:r>
        <w:rPr>
          <w:rStyle w:val="VerbatimChar"/>
          <w:rFonts w:ascii="DejaVu Sans Mono" w:hAnsi="DejaVu Sans Mono" w:eastAsia="DejaVu Sans Mono"/>
          <w:color w:val="10263B"/>
          <w:sz w:val="17"/>
        </w:rPr>
        <w:t xml:space="preserve">AssetConverter</w:t>
      </w:r>
      <w:r>
        <w:rPr>
          <w:rFonts w:ascii="DejaVu Sans Mono" w:hAnsi="DejaVu Sans Mono" w:eastAsia="DejaVu Sans Mono"/>
          <w:color w:val="10263B"/>
          <w:sz w:val="17"/>
        </w:rPr>
        <w:br/>
      </w:r>
      <w:r>
        <w:rPr>
          <w:rStyle w:val="VerbatimChar"/>
          <w:rFonts w:ascii="DejaVu Sans Mono" w:hAnsi="DejaVu Sans Mono" w:eastAsia="DejaVu Sans Mono"/>
          <w:color w:val="10263B"/>
          <w:sz w:val="17"/>
        </w:rPr>
        <w:t xml:space="preserve">MessageProvider</w:t>
      </w:r>
      <w:r>
        <w:rPr>
          <w:rFonts w:ascii="DejaVu Sans Mono" w:hAnsi="DejaVu Sans Mono" w:eastAsia="DejaVu Sans Mono"/>
          <w:color w:val="10263B"/>
          <w:sz w:val="17"/>
        </w:rPr>
        <w:br/>
      </w:r>
      <w:r>
        <w:rPr>
          <w:rStyle w:val="VerbatimChar"/>
          <w:rFonts w:ascii="DejaVu Sans Mono" w:hAnsi="DejaVu Sans Mono" w:eastAsia="DejaVu Sans Mono"/>
          <w:color w:val="10263B"/>
          <w:sz w:val="17"/>
        </w:rPr>
        <w:t xml:space="preserve">LogisticsOrchestrator</w:t>
      </w:r>
      <w:r>
        <w:rPr>
          <w:rFonts w:ascii="DejaVu Sans Mono" w:hAnsi="DejaVu Sans Mono" w:eastAsia="DejaVu Sans Mono"/>
          <w:color w:val="10263B"/>
          <w:sz w:val="17"/>
        </w:rPr>
        <w:br/>
      </w:r>
      <w:r>
        <w:rPr>
          <w:rStyle w:val="VerbatimChar"/>
          <w:rFonts w:ascii="DejaVu Sans Mono" w:hAnsi="DejaVu Sans Mono" w:eastAsia="DejaVu Sans Mono"/>
          <w:color w:val="10263B"/>
          <w:sz w:val="17"/>
        </w:rPr>
        <w:t xml:space="preserve">CrossLogistics</w:t>
      </w:r>
      <w:r>
        <w:rPr>
          <w:rFonts w:ascii="DejaVu Sans Mono" w:hAnsi="DejaVu Sans Mono" w:eastAsia="DejaVu Sans Mono"/>
          <w:color w:val="10263B"/>
          <w:sz w:val="17"/>
        </w:rPr>
        <w:br/>
      </w:r>
      <w:r>
        <w:rPr>
          <w:rStyle w:val="VerbatimChar"/>
          <w:rFonts w:ascii="DejaVu Sans Mono" w:hAnsi="DejaVu Sans Mono" w:eastAsia="DejaVu Sans Mono"/>
          <w:color w:val="10263B"/>
          <w:sz w:val="17"/>
        </w:rPr>
        <w:t xml:space="preserve">Gateway</w:t>
      </w:r>
      <w:r>
        <w:rPr>
          <w:rFonts w:ascii="DejaVu Sans Mono" w:hAnsi="DejaVu Sans Mono" w:eastAsia="DejaVu Sans Mono"/>
          <w:color w:val="10263B"/>
          <w:sz w:val="17"/>
        </w:rPr>
        <w:br/>
      </w:r>
      <w:r>
        <w:rPr>
          <w:rStyle w:val="VerbatimChar"/>
          <w:rFonts w:ascii="DejaVu Sans Mono" w:hAnsi="DejaVu Sans Mono" w:eastAsia="DejaVu Sans Mono"/>
          <w:color w:val="10263B"/>
          <w:sz w:val="17"/>
        </w:rPr>
        <w:t xml:space="preserve">EurekaServer</w:t>
      </w:r>
      <w:r>
        <w:rPr>
          <w:rFonts w:ascii="DejaVu Sans Mono" w:hAnsi="DejaVu Sans Mono" w:eastAsia="DejaVu Sans Mono"/>
          <w:color w:val="10263B"/>
          <w:sz w:val="17"/>
        </w:rPr>
        <w:br/>
      </w:r>
      <w:r>
        <w:rPr>
          <w:rStyle w:val="VerbatimChar"/>
          <w:rFonts w:ascii="DejaVu Sans Mono" w:hAnsi="DejaVu Sans Mono" w:eastAsia="DejaVu Sans Mono"/>
          <w:color w:val="10263B"/>
          <w:sz w:val="17"/>
        </w:rPr>
        <w:t xml:space="preserve">SupplierServiceManagement</w:t>
      </w:r>
      <w:r>
        <w:rPr>
          <w:rFonts w:ascii="DejaVu Sans Mono" w:hAnsi="DejaVu Sans Mono" w:eastAsia="DejaVu Sans Mono"/>
          <w:color w:val="10263B"/>
          <w:sz w:val="17"/>
        </w:rPr>
        <w:br/>
      </w:r>
      <w:r>
        <w:rPr>
          <w:rStyle w:val="VerbatimChar"/>
          <w:rFonts w:ascii="DejaVu Sans Mono" w:hAnsi="DejaVu Sans Mono" w:eastAsia="DejaVu Sans Mono"/>
          <w:color w:val="10263B"/>
          <w:sz w:val="17"/>
        </w:rPr>
        <w:t xml:space="preserve">TransportAssets</w:t>
      </w:r>
      <w:r>
        <w:rPr>
          <w:rFonts w:ascii="DejaVu Sans Mono" w:hAnsi="DejaVu Sans Mono" w:eastAsia="DejaVu Sans Mono"/>
          <w:color w:val="10263B"/>
          <w:sz w:val="17"/>
        </w:rPr>
        <w:br/>
      </w:r>
      <w:r>
        <w:rPr>
          <w:rStyle w:val="VerbatimChar"/>
          <w:rFonts w:ascii="DejaVu Sans Mono" w:hAnsi="DejaVu Sans Mono" w:eastAsia="DejaVu Sans Mono"/>
          <w:color w:val="10263B"/>
          <w:sz w:val="17"/>
        </w:rPr>
        <w:t xml:space="preserve">DriverHub</w:t>
      </w:r>
      <w:r>
        <w:rPr>
          <w:rFonts w:ascii="DejaVu Sans Mono" w:hAnsi="DejaVu Sans Mono" w:eastAsia="DejaVu Sans Mono"/>
          <w:color w:val="10263B"/>
          <w:sz w:val="17"/>
        </w:rPr>
        <w:br/>
      </w:r>
      <w:r>
        <w:rPr>
          <w:rStyle w:val="VerbatimChar"/>
          <w:rFonts w:ascii="DejaVu Sans Mono" w:hAnsi="DejaVu Sans Mono" w:eastAsia="DejaVu Sans Mono"/>
          <w:color w:val="10263B"/>
          <w:sz w:val="17"/>
        </w:rPr>
        <w:t xml:space="preserve">ProcessHub</w:t>
      </w:r>
      <w:r>
        <w:rPr>
          <w:rFonts w:ascii="DejaVu Sans Mono" w:hAnsi="DejaVu Sans Mono" w:eastAsia="DejaVu Sans Mono"/>
          <w:color w:val="10263B"/>
          <w:sz w:val="17"/>
        </w:rPr>
        <w:br/>
      </w:r>
      <w:r>
        <w:rPr>
          <w:rStyle w:val="VerbatimChar"/>
          <w:rFonts w:ascii="DejaVu Sans Mono" w:hAnsi="DejaVu Sans Mono" w:eastAsia="DejaVu Sans Mono"/>
          <w:color w:val="10263B"/>
          <w:sz w:val="17"/>
        </w:rPr>
        <w:t xml:space="preserve">GeocodingService</w:t>
      </w:r>
    </w:p>
    <w:p>
      <w:bookmarkStart w:id="664" w:name="mv2_h_0293"/>
      <w:pPr>
        <w:pStyle w:val="Heading2"/>
        <w:keepNext/>
        <w:widowControl/>
      </w:pPr>
      <w:r>
        <w:t xml:space="preserve">B.2 Directories Outside the Active Reactor</w:t>
      </w:r>
      <w:bookmarkEnd w:id="664"/>
    </w:p>
    <w:p>
      <w:pPr>
        <w:pStyle w:val="SourceCode"/>
        <w:widowControl/>
        <w:shd w:val="clear" w:fill="F3F6F8"/>
        <w:pBdr>
          <w:left w:val="single" w:sz="14" w:space="6" w:color="0F7C80"/>
        </w:pBdr>
      </w:pPr>
      <w:r>
        <w:rPr>
          <w:rStyle w:val="VerbatimChar"/>
          <w:rFonts w:ascii="DejaVu Sans Mono" w:hAnsi="DejaVu Sans Mono" w:eastAsia="DejaVu Sans Mono"/>
          <w:color w:val="10263B"/>
          <w:sz w:val="17"/>
        </w:rPr>
        <w:t xml:space="preserve">DeliveryProtection</w:t>
      </w:r>
      <w:r>
        <w:rPr>
          <w:rFonts w:ascii="DejaVu Sans Mono" w:hAnsi="DejaVu Sans Mono" w:eastAsia="DejaVu Sans Mono"/>
          <w:color w:val="10263B"/>
          <w:sz w:val="17"/>
        </w:rPr>
        <w:br/>
      </w:r>
      <w:r>
        <w:rPr>
          <w:rStyle w:val="VerbatimChar"/>
          <w:rFonts w:ascii="DejaVu Sans Mono" w:hAnsi="DejaVu Sans Mono" w:eastAsia="DejaVu Sans Mono"/>
          <w:color w:val="10263B"/>
          <w:sz w:val="17"/>
        </w:rPr>
        <w:t xml:space="preserve">PalletHandlingManager</w:t>
      </w:r>
      <w:r>
        <w:rPr>
          <w:rFonts w:ascii="DejaVu Sans Mono" w:hAnsi="DejaVu Sans Mono" w:eastAsia="DejaVu Sans Mono"/>
          <w:color w:val="10263B"/>
          <w:sz w:val="17"/>
        </w:rPr>
        <w:br/>
      </w:r>
      <w:r>
        <w:rPr>
          <w:rStyle w:val="VerbatimChar"/>
          <w:rFonts w:ascii="DejaVu Sans Mono" w:hAnsi="DejaVu Sans Mono" w:eastAsia="DejaVu Sans Mono"/>
          <w:color w:val="10263B"/>
          <w:sz w:val="17"/>
        </w:rPr>
        <w:t xml:space="preserve">ReturningTrackManager</w:t>
      </w:r>
      <w:r>
        <w:rPr>
          <w:rFonts w:ascii="DejaVu Sans Mono" w:hAnsi="DejaVu Sans Mono" w:eastAsia="DejaVu Sans Mono"/>
          <w:color w:val="10263B"/>
          <w:sz w:val="17"/>
        </w:rPr>
        <w:br/>
      </w:r>
      <w:r>
        <w:rPr>
          <w:rStyle w:val="VerbatimChar"/>
          <w:rFonts w:ascii="DejaVu Sans Mono" w:hAnsi="DejaVu Sans Mono" w:eastAsia="DejaVu Sans Mono"/>
          <w:color w:val="10263B"/>
          <w:sz w:val="17"/>
        </w:rPr>
        <w:t xml:space="preserve">RouteTrackerFlow</w:t>
      </w:r>
      <w:r>
        <w:rPr>
          <w:rFonts w:ascii="DejaVu Sans Mono" w:hAnsi="DejaVu Sans Mono" w:eastAsia="DejaVu Sans Mono"/>
          <w:color w:val="10263B"/>
          <w:sz w:val="17"/>
        </w:rPr>
        <w:br/>
      </w:r>
      <w:r>
        <w:rPr>
          <w:rStyle w:val="VerbatimChar"/>
          <w:rFonts w:ascii="DejaVu Sans Mono" w:hAnsi="DejaVu Sans Mono" w:eastAsia="DejaVu Sans Mono"/>
          <w:color w:val="10263B"/>
          <w:sz w:val="17"/>
        </w:rPr>
        <w:t xml:space="preserve">SoftwareConfiguration</w:t>
      </w:r>
    </w:p>
    <w:p>
      <w:bookmarkStart w:id="666" w:name="mv2_h_0295"/>
      <w:pPr>
        <w:pStyle w:val="Heading1"/>
        <w:keepNext/>
        <w:widowControl/>
      </w:pPr>
      <w:r>
        <w:t xml:space="preserve">Appendix C. Configuration Reference</w:t>
      </w:r>
      <w:bookmarkEnd w:id="666"/>
    </w:p>
    <w:p>
      <w:bookmarkStart w:id="667" w:name="mv2_h_0296"/>
      <w:pPr>
        <w:pStyle w:val="Heading2"/>
        <w:keepNext/>
        <w:widowControl/>
        <w:spacing w:after="100"/>
      </w:pPr>
      <w:r>
        <w:t xml:space="preserve">C.1 Core Runtime Configuration</w:t>
      </w:r>
      <w:bookmarkEnd w:id="667"/>
    </w:p>
    <w:tbl>
      <w:tblPr>
        <w:tblStyle w:val="Table"/>
        <w:tblW w:type="pct" w:w="5000"/>
        <w:jc w:val="center"/>
        <w:tblLayout w:type="fixed"/>
        <w:tblLook w:firstRow="1" w:lastRow="0" w:firstColumn="0" w:lastColumn="0" w:noHBand="0" w:noVBand="0" w:val="0020"/>
        <w:tblBorders>
          <w:top w:val="single" w:sz="4" w:space="0" w:color="D7E0E6"/>
          <w:left w:val="single" w:sz="4" w:space="0" w:color="D7E0E6"/>
          <w:bottom w:val="single" w:sz="4" w:space="0" w:color="D7E0E6"/>
          <w:right w:val="single" w:sz="4" w:space="0" w:color="D7E0E6"/>
          <w:insideH w:val="single" w:sz="4" w:space="0" w:color="D7E0E6"/>
          <w:insideV w:val="single" w:sz="4" w:space="0" w:color="D7E0E6"/>
        </w:tblBorders>
      </w:tblPr>
      <w:tblGrid>
        <w:gridCol w:w="3200"/>
        <w:gridCol w:w="6678"/>
      </w:tblGrid>
      <w:tr>
        <w:trPr>
          <w:tblHeader w:val="true"/>
          <w:cantSplit/>
        </w:trPr>
        <w:tc>
          <w:tcPr>
            <w:tcW w:type="dxa" w:w="3200"/>
            <w:tcMar>
              <w:top w:w="85" w:type="dxa"/>
              <w:start w:w="100" w:type="dxa"/>
              <w:bottom w:w="85" w:type="dxa"/>
              <w:end w:w="100" w:type="dxa"/>
            </w:tcMar>
            <w:vAlign w:val="center"/>
            <w:shd w:fill="17324D" w:val="clear"/>
          </w:tcPr>
          <w:p>
            <w:pPr>
              <w:pStyle w:val="Compact"/>
              <w:widowControl/>
              <w:spacing w:before="0" w:after="30" w:line="240" w:lineRule="auto"/>
              <w:jc w:val="left"/>
            </w:pPr>
            <w:r>
              <w:rPr>
                <w:rFonts w:ascii="Noto Sans" w:hAnsi="Noto Sans" w:eastAsia="Noto Sans"/>
                <w:b/>
                <w:color w:val="FFFFFF"/>
                <w:sz w:val="17"/>
              </w:rPr>
              <w:t xml:space="preserve">Property area</w:t>
            </w:r>
          </w:p>
        </w:tc>
        <w:tc>
          <w:tcPr>
            <w:tcW w:type="dxa" w:w="6678"/>
            <w:tcMar>
              <w:top w:w="85" w:type="dxa"/>
              <w:start w:w="100" w:type="dxa"/>
              <w:bottom w:w="85" w:type="dxa"/>
              <w:end w:w="100" w:type="dxa"/>
            </w:tcMar>
            <w:vAlign w:val="center"/>
            <w:shd w:fill="17324D" w:val="clear"/>
          </w:tcPr>
          <w:p>
            <w:pPr>
              <w:pStyle w:val="Compact"/>
              <w:widowControl/>
              <w:spacing w:before="0" w:after="30" w:line="240" w:lineRule="auto"/>
              <w:jc w:val="left"/>
            </w:pPr>
            <w:r>
              <w:rPr>
                <w:rFonts w:ascii="Noto Sans" w:hAnsi="Noto Sans" w:eastAsia="Noto Sans"/>
                <w:b/>
                <w:color w:val="FFFFFF"/>
                <w:sz w:val="17"/>
              </w:rPr>
              <w:t xml:space="preserve">Observed value</w:t>
            </w:r>
          </w:p>
        </w:tc>
      </w:tr>
      <w:tr>
        <w:trPr>
          <w:cantSplit/>
        </w:trPr>
        <w:tc>
          <w:tcPr>
            <w:tcW w:type="dxa" w:w="3200"/>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Application name</w:t>
            </w:r>
          </w:p>
        </w:tc>
        <w:tc>
          <w:tcPr>
            <w:tcW w:type="dxa" w:w="6678"/>
            <w:tcMar>
              <w:top w:w="85" w:type="dxa"/>
              <w:start w:w="100" w:type="dxa"/>
              <w:bottom w:w="85" w:type="dxa"/>
              <w:end w:w="100" w:type="dxa"/>
            </w:tcMar>
            <w:vAlign w:val="center"/>
            <w:shd w:fill="FFFFFF" w:val="clear"/>
          </w:tcPr>
          <w:p>
            <w:pPr>
              <w:pStyle w:val="Compact"/>
              <w:widowControl/>
              <w:spacing w:before="0" w:after="30" w:line="240" w:lineRule="auto"/>
              <w:jc w:val="left"/>
            </w:pPr>
            <w:r>
              <w:rPr>
                <w:rStyle w:val="VerbatimChar"/>
                <w:rFonts w:ascii="Carlito" w:hAnsi="Carlito" w:eastAsia="Carlito"/>
                <w:color w:val="44515C"/>
                <w:sz w:val="17"/>
              </w:rPr>
              <w:t xml:space="preserve">manager-application</w:t>
            </w:r>
          </w:p>
        </w:tc>
      </w:tr>
      <w:tr>
        <w:trPr>
          <w:cantSplit/>
        </w:trPr>
        <w:tc>
          <w:tcPr>
            <w:tcW w:type="dxa" w:w="3200"/>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HTTP port</w:t>
            </w:r>
          </w:p>
        </w:tc>
        <w:tc>
          <w:tcPr>
            <w:tcW w:type="dxa" w:w="6678"/>
            <w:tcMar>
              <w:top w:w="85" w:type="dxa"/>
              <w:start w:w="100" w:type="dxa"/>
              <w:bottom w:w="85" w:type="dxa"/>
              <w:end w:w="100" w:type="dxa"/>
            </w:tcMar>
            <w:vAlign w:val="center"/>
            <w:shd w:fill="FFFFFF" w:val="clear"/>
          </w:tcPr>
          <w:p>
            <w:pPr>
              <w:pStyle w:val="Compact"/>
              <w:widowControl/>
              <w:spacing w:before="0" w:after="30" w:line="240" w:lineRule="auto"/>
              <w:jc w:val="left"/>
            </w:pPr>
            <w:r>
              <w:rPr>
                <w:rStyle w:val="VerbatimChar"/>
                <w:rFonts w:ascii="Carlito" w:hAnsi="Carlito" w:eastAsia="Carlito"/>
                <w:color w:val="44515C"/>
                <w:sz w:val="17"/>
              </w:rPr>
              <w:t xml:space="preserve">8080</w:t>
            </w:r>
          </w:p>
        </w:tc>
      </w:tr>
      <w:tr>
        <w:trPr>
          <w:cantSplit/>
        </w:trPr>
        <w:tc>
          <w:tcPr>
            <w:tcW w:type="dxa" w:w="3200"/>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Context path</w:t>
            </w:r>
          </w:p>
        </w:tc>
        <w:tc>
          <w:tcPr>
            <w:tcW w:type="dxa" w:w="6678"/>
            <w:tcMar>
              <w:top w:w="85" w:type="dxa"/>
              <w:start w:w="100" w:type="dxa"/>
              <w:bottom w:w="85" w:type="dxa"/>
              <w:end w:w="100" w:type="dxa"/>
            </w:tcMar>
            <w:vAlign w:val="center"/>
            <w:shd w:fill="FFFFFF" w:val="clear"/>
          </w:tcPr>
          <w:p>
            <w:pPr>
              <w:pStyle w:val="Compact"/>
              <w:widowControl/>
              <w:spacing w:before="0" w:after="30" w:line="240" w:lineRule="auto"/>
              <w:jc w:val="left"/>
            </w:pPr>
            <w:r>
              <w:rPr>
                <w:rStyle w:val="VerbatimChar"/>
                <w:rFonts w:ascii="Carlito" w:hAnsi="Carlito" w:eastAsia="Carlito"/>
                <w:color w:val="44515C"/>
                <w:sz w:val="17"/>
              </w:rPr>
              <w:t xml:space="preserve">/v2/api</w:t>
            </w:r>
          </w:p>
        </w:tc>
      </w:tr>
      <w:tr>
        <w:trPr>
          <w:cantSplit/>
        </w:trPr>
        <w:tc>
          <w:tcPr>
            <w:tcW w:type="dxa" w:w="3200"/>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Default profile</w:t>
            </w:r>
          </w:p>
        </w:tc>
        <w:tc>
          <w:tcPr>
            <w:tcW w:type="dxa" w:w="667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Development-oriented</w:t>
            </w:r>
          </w:p>
        </w:tc>
      </w:tr>
      <w:tr>
        <w:trPr>
          <w:cantSplit/>
        </w:trPr>
        <w:tc>
          <w:tcPr>
            <w:tcW w:type="dxa" w:w="3200"/>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Eureka URL</w:t>
            </w:r>
          </w:p>
        </w:tc>
        <w:tc>
          <w:tcPr>
            <w:tcW w:type="dxa" w:w="667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Localhost registry default</w:t>
            </w:r>
          </w:p>
        </w:tc>
      </w:tr>
      <w:tr>
        <w:trPr>
          <w:cantSplit/>
        </w:trPr>
        <w:tc>
          <w:tcPr>
            <w:tcW w:type="dxa" w:w="3200"/>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Kafka bootstrap</w:t>
            </w:r>
          </w:p>
        </w:tc>
        <w:tc>
          <w:tcPr>
            <w:tcW w:type="dxa" w:w="6678"/>
            <w:tcMar>
              <w:top w:w="85" w:type="dxa"/>
              <w:start w:w="100" w:type="dxa"/>
              <w:bottom w:w="85" w:type="dxa"/>
              <w:end w:w="100" w:type="dxa"/>
            </w:tcMar>
            <w:vAlign w:val="center"/>
            <w:shd w:fill="FFFFFF" w:val="clear"/>
          </w:tcPr>
          <w:p>
            <w:pPr>
              <w:pStyle w:val="Compact"/>
              <w:widowControl/>
              <w:spacing w:before="0" w:after="30" w:line="240" w:lineRule="auto"/>
              <w:jc w:val="left"/>
            </w:pPr>
            <w:r>
              <w:rPr>
                <w:rStyle w:val="VerbatimChar"/>
                <w:rFonts w:ascii="Carlito" w:hAnsi="Carlito" w:eastAsia="Carlito"/>
                <w:color w:val="44515C"/>
                <w:sz w:val="17"/>
              </w:rPr>
              <w:t xml:space="preserve">localhost:9092</w:t>
            </w:r>
          </w:p>
        </w:tc>
      </w:tr>
      <w:tr>
        <w:trPr>
          <w:cantSplit/>
        </w:trPr>
        <w:tc>
          <w:tcPr>
            <w:tcW w:type="dxa" w:w="3200"/>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Database URL</w:t>
            </w:r>
          </w:p>
        </w:tc>
        <w:tc>
          <w:tcPr>
            <w:tcW w:type="dxa" w:w="667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Local MySQL development database</w:t>
            </w:r>
          </w:p>
        </w:tc>
      </w:tr>
      <w:tr>
        <w:trPr>
          <w:cantSplit/>
        </w:trPr>
        <w:tc>
          <w:tcPr>
            <w:tcW w:type="dxa" w:w="3200"/>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Liquibase</w:t>
            </w:r>
          </w:p>
        </w:tc>
        <w:tc>
          <w:tcPr>
            <w:tcW w:type="dxa" w:w="667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Enabled for main relational schema</w:t>
            </w:r>
          </w:p>
        </w:tc>
      </w:tr>
      <w:tr>
        <w:trPr>
          <w:cantSplit/>
        </w:trPr>
        <w:tc>
          <w:tcPr>
            <w:tcW w:type="dxa" w:w="3200"/>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CORS</w:t>
            </w:r>
          </w:p>
        </w:tc>
        <w:tc>
          <w:tcPr>
            <w:tcW w:type="dxa" w:w="667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Local UI plus hosted UI origin</w:t>
            </w:r>
          </w:p>
        </w:tc>
      </w:tr>
      <w:tr>
        <w:trPr>
          <w:cantSplit/>
        </w:trPr>
        <w:tc>
          <w:tcPr>
            <w:tcW w:type="dxa" w:w="3200"/>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JWT issuer/audience</w:t>
            </w:r>
          </w:p>
        </w:tc>
        <w:tc>
          <w:tcPr>
            <w:tcW w:type="dxa" w:w="667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Explicit configured values</w:t>
            </w:r>
          </w:p>
        </w:tc>
      </w:tr>
      <w:tr>
        <w:trPr>
          <w:cantSplit/>
        </w:trPr>
        <w:tc>
          <w:tcPr>
            <w:tcW w:type="dxa" w:w="3200"/>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Cookies</w:t>
            </w:r>
          </w:p>
        </w:tc>
        <w:tc>
          <w:tcPr>
            <w:tcW w:type="dxa" w:w="667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Access and refresh cookie settings</w:t>
            </w:r>
          </w:p>
        </w:tc>
      </w:tr>
      <w:tr>
        <w:trPr>
          <w:cantSplit/>
        </w:trPr>
        <w:tc>
          <w:tcPr>
            <w:tcW w:type="dxa" w:w="3200"/>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Internal prefix</w:t>
            </w:r>
          </w:p>
        </w:tc>
        <w:tc>
          <w:tcPr>
            <w:tcW w:type="dxa" w:w="6678"/>
            <w:tcMar>
              <w:top w:w="85" w:type="dxa"/>
              <w:start w:w="100" w:type="dxa"/>
              <w:bottom w:w="85" w:type="dxa"/>
              <w:end w:w="100" w:type="dxa"/>
            </w:tcMar>
            <w:vAlign w:val="center"/>
            <w:shd w:fill="FFFFFF" w:val="clear"/>
          </w:tcPr>
          <w:p>
            <w:pPr>
              <w:pStyle w:val="Compact"/>
              <w:widowControl/>
              <w:spacing w:before="0" w:after="30" w:line="240" w:lineRule="auto"/>
              <w:jc w:val="left"/>
            </w:pPr>
            <w:r>
              <w:rPr>
                <w:rStyle w:val="VerbatimChar"/>
                <w:rFonts w:ascii="Carlito" w:hAnsi="Carlito" w:eastAsia="Carlito"/>
                <w:color w:val="44515C"/>
                <w:sz w:val="17"/>
              </w:rPr>
              <w:t xml:space="preserve">/internal</w:t>
            </w:r>
          </w:p>
        </w:tc>
      </w:tr>
    </w:tbl>
    <w:p>
      <w:bookmarkStart w:id="673" w:name="mv2_h_0302"/>
      <w:pPr>
        <w:pStyle w:val="Heading1"/>
        <w:keepNext/>
        <w:widowControl/>
      </w:pPr>
      <w:r>
        <w:t xml:space="preserve">Appendix D. Port and Endpoint Matrix</w:t>
      </w:r>
      <w:bookmarkEnd w:id="673"/>
    </w:p>
    <w:p>
      <w:bookmarkStart w:id="674" w:name="mv2_h_0303"/>
      <w:pPr>
        <w:pStyle w:val="Heading2"/>
        <w:keepNext/>
        <w:widowControl/>
        <w:spacing w:after="100"/>
      </w:pPr>
      <w:r>
        <w:t xml:space="preserve">D.1 Default Ports</w:t>
      </w:r>
      <w:bookmarkEnd w:id="674"/>
    </w:p>
    <w:tbl>
      <w:tblPr>
        <w:tblStyle w:val="Table"/>
        <w:tblW w:type="pct" w:w="5000"/>
        <w:jc w:val="center"/>
        <w:tblLayout w:type="fixed"/>
        <w:tblLook w:firstRow="1" w:lastRow="0" w:firstColumn="0" w:lastColumn="0" w:noHBand="0" w:noVBand="0" w:val="0020"/>
        <w:tblBorders>
          <w:top w:val="single" w:sz="4" w:space="0" w:color="D7E0E6"/>
          <w:left w:val="single" w:sz="4" w:space="0" w:color="D7E0E6"/>
          <w:bottom w:val="single" w:sz="4" w:space="0" w:color="D7E0E6"/>
          <w:right w:val="single" w:sz="4" w:space="0" w:color="D7E0E6"/>
          <w:insideH w:val="single" w:sz="4" w:space="0" w:color="D7E0E6"/>
          <w:insideV w:val="single" w:sz="4" w:space="0" w:color="D7E0E6"/>
        </w:tblBorders>
      </w:tblPr>
      <w:tblGrid>
        <w:gridCol w:w="5200"/>
        <w:gridCol w:w="4678"/>
      </w:tblGrid>
      <w:tr>
        <w:trPr>
          <w:tblHeader w:val="true"/>
          <w:cantSplit/>
        </w:trPr>
        <w:tc>
          <w:tcPr>
            <w:tcW w:type="dxa" w:w="5200"/>
            <w:tcMar>
              <w:top w:w="85" w:type="dxa"/>
              <w:start w:w="100" w:type="dxa"/>
              <w:bottom w:w="85" w:type="dxa"/>
              <w:end w:w="100" w:type="dxa"/>
            </w:tcMar>
            <w:vAlign w:val="center"/>
            <w:shd w:fill="17324D" w:val="clear"/>
          </w:tcPr>
          <w:p>
            <w:pPr>
              <w:pStyle w:val="Compact"/>
              <w:widowControl/>
              <w:spacing w:before="0" w:after="30" w:line="240" w:lineRule="auto"/>
              <w:jc w:val="left"/>
            </w:pPr>
            <w:r>
              <w:rPr>
                <w:rFonts w:ascii="Noto Sans" w:hAnsi="Noto Sans" w:eastAsia="Noto Sans"/>
                <w:b/>
                <w:color w:val="FFFFFF"/>
                <w:sz w:val="17"/>
              </w:rPr>
              <w:t xml:space="preserve">Component</w:t>
            </w:r>
          </w:p>
        </w:tc>
        <w:tc>
          <w:tcPr>
            <w:tcW w:type="dxa" w:w="4678"/>
            <w:tcMar>
              <w:top w:w="85" w:type="dxa"/>
              <w:start w:w="100" w:type="dxa"/>
              <w:bottom w:w="85" w:type="dxa"/>
              <w:end w:w="100" w:type="dxa"/>
            </w:tcMar>
            <w:vAlign w:val="center"/>
            <w:shd w:fill="17324D" w:val="clear"/>
          </w:tcPr>
          <w:p>
            <w:pPr>
              <w:pStyle w:val="Compact"/>
              <w:widowControl/>
              <w:spacing w:before="0" w:after="30" w:line="240" w:lineRule="auto"/>
              <w:jc w:val="right"/>
            </w:pPr>
            <w:r>
              <w:rPr>
                <w:rFonts w:ascii="Noto Sans" w:hAnsi="Noto Sans" w:eastAsia="Noto Sans"/>
                <w:b/>
                <w:color w:val="FFFFFF"/>
                <w:sz w:val="17"/>
              </w:rPr>
              <w:t xml:space="preserve">Port</w:t>
            </w:r>
          </w:p>
        </w:tc>
      </w:tr>
      <w:tr>
        <w:trPr>
          <w:cantSplit/>
        </w:trPr>
        <w:tc>
          <w:tcPr>
            <w:tcW w:type="dxa" w:w="5200"/>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Gateway</w:t>
            </w:r>
          </w:p>
        </w:tc>
        <w:tc>
          <w:tcPr>
            <w:tcW w:type="dxa" w:w="4678"/>
            <w:tcMar>
              <w:top w:w="85" w:type="dxa"/>
              <w:start w:w="100" w:type="dxa"/>
              <w:bottom w:w="85" w:type="dxa"/>
              <w:end w:w="100" w:type="dxa"/>
            </w:tcMar>
            <w:vAlign w:val="center"/>
            <w:shd w:fill="FFFFFF" w:val="clear"/>
          </w:tcPr>
          <w:p>
            <w:pPr>
              <w:pStyle w:val="Compact"/>
              <w:widowControl/>
              <w:spacing w:before="0" w:after="30" w:line="240" w:lineRule="auto"/>
              <w:jc w:val="right"/>
            </w:pPr>
            <w:r>
              <w:rPr>
                <w:rFonts w:ascii="Carlito" w:hAnsi="Carlito" w:eastAsia="Carlito"/>
                <w:color w:val="44515C"/>
                <w:sz w:val="17"/>
              </w:rPr>
              <w:t xml:space="preserve">8088</w:t>
            </w:r>
          </w:p>
        </w:tc>
      </w:tr>
      <w:tr>
        <w:trPr>
          <w:cantSplit/>
        </w:trPr>
        <w:tc>
          <w:tcPr>
            <w:tcW w:type="dxa" w:w="5200"/>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Main application</w:t>
            </w:r>
          </w:p>
        </w:tc>
        <w:tc>
          <w:tcPr>
            <w:tcW w:type="dxa" w:w="4678"/>
            <w:tcMar>
              <w:top w:w="85" w:type="dxa"/>
              <w:start w:w="100" w:type="dxa"/>
              <w:bottom w:w="85" w:type="dxa"/>
              <w:end w:w="100" w:type="dxa"/>
            </w:tcMar>
            <w:vAlign w:val="center"/>
            <w:shd w:fill="FFFFFF" w:val="clear"/>
          </w:tcPr>
          <w:p>
            <w:pPr>
              <w:pStyle w:val="Compact"/>
              <w:widowControl/>
              <w:spacing w:before="0" w:after="30" w:line="240" w:lineRule="auto"/>
              <w:jc w:val="right"/>
            </w:pPr>
            <w:r>
              <w:rPr>
                <w:rFonts w:ascii="Carlito" w:hAnsi="Carlito" w:eastAsia="Carlito"/>
                <w:color w:val="44515C"/>
                <w:sz w:val="17"/>
              </w:rPr>
              <w:t xml:space="preserve">8080</w:t>
            </w:r>
          </w:p>
        </w:tc>
      </w:tr>
      <w:tr>
        <w:trPr>
          <w:cantSplit/>
        </w:trPr>
        <w:tc>
          <w:tcPr>
            <w:tcW w:type="dxa" w:w="5200"/>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Eureka</w:t>
            </w:r>
          </w:p>
        </w:tc>
        <w:tc>
          <w:tcPr>
            <w:tcW w:type="dxa" w:w="4678"/>
            <w:tcMar>
              <w:top w:w="85" w:type="dxa"/>
              <w:start w:w="100" w:type="dxa"/>
              <w:bottom w:w="85" w:type="dxa"/>
              <w:end w:w="100" w:type="dxa"/>
            </w:tcMar>
            <w:vAlign w:val="center"/>
            <w:shd w:fill="FFFFFF" w:val="clear"/>
          </w:tcPr>
          <w:p>
            <w:pPr>
              <w:pStyle w:val="Compact"/>
              <w:widowControl/>
              <w:spacing w:before="0" w:after="30" w:line="240" w:lineRule="auto"/>
              <w:jc w:val="right"/>
            </w:pPr>
            <w:r>
              <w:rPr>
                <w:rFonts w:ascii="Carlito" w:hAnsi="Carlito" w:eastAsia="Carlito"/>
                <w:color w:val="44515C"/>
                <w:sz w:val="17"/>
              </w:rPr>
              <w:t xml:space="preserve">8761</w:t>
            </w:r>
          </w:p>
        </w:tc>
      </w:tr>
      <w:tr>
        <w:trPr>
          <w:cantSplit/>
        </w:trPr>
        <w:tc>
          <w:tcPr>
            <w:tcW w:type="dxa" w:w="5200"/>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Software Configuration</w:t>
            </w:r>
          </w:p>
        </w:tc>
        <w:tc>
          <w:tcPr>
            <w:tcW w:type="dxa" w:w="4678"/>
            <w:tcMar>
              <w:top w:w="85" w:type="dxa"/>
              <w:start w:w="100" w:type="dxa"/>
              <w:bottom w:w="85" w:type="dxa"/>
              <w:end w:w="100" w:type="dxa"/>
            </w:tcMar>
            <w:vAlign w:val="center"/>
            <w:shd w:fill="FFFFFF" w:val="clear"/>
          </w:tcPr>
          <w:p>
            <w:pPr>
              <w:pStyle w:val="Compact"/>
              <w:widowControl/>
              <w:spacing w:before="0" w:after="30" w:line="240" w:lineRule="auto"/>
              <w:jc w:val="right"/>
            </w:pPr>
            <w:r>
              <w:rPr>
                <w:rFonts w:ascii="Carlito" w:hAnsi="Carlito" w:eastAsia="Carlito"/>
                <w:color w:val="44515C"/>
                <w:sz w:val="17"/>
              </w:rPr>
              <w:t xml:space="preserve">8081</w:t>
            </w:r>
          </w:p>
        </w:tc>
      </w:tr>
      <w:tr>
        <w:trPr>
          <w:cantSplit/>
        </w:trPr>
        <w:tc>
          <w:tcPr>
            <w:tcW w:type="dxa" w:w="5200"/>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Route Tracker Flow</w:t>
            </w:r>
          </w:p>
        </w:tc>
        <w:tc>
          <w:tcPr>
            <w:tcW w:type="dxa" w:w="4678"/>
            <w:tcMar>
              <w:top w:w="85" w:type="dxa"/>
              <w:start w:w="100" w:type="dxa"/>
              <w:bottom w:w="85" w:type="dxa"/>
              <w:end w:w="100" w:type="dxa"/>
            </w:tcMar>
            <w:vAlign w:val="center"/>
            <w:shd w:fill="FFFFFF" w:val="clear"/>
          </w:tcPr>
          <w:p>
            <w:pPr>
              <w:pStyle w:val="Compact"/>
              <w:widowControl/>
              <w:spacing w:before="0" w:after="30" w:line="240" w:lineRule="auto"/>
              <w:jc w:val="right"/>
            </w:pPr>
            <w:r>
              <w:rPr>
                <w:rFonts w:ascii="Carlito" w:hAnsi="Carlito" w:eastAsia="Carlito"/>
                <w:color w:val="44515C"/>
                <w:sz w:val="17"/>
              </w:rPr>
              <w:t xml:space="preserve">8082</w:t>
            </w:r>
          </w:p>
        </w:tc>
      </w:tr>
      <w:tr>
        <w:trPr>
          <w:cantSplit/>
        </w:trPr>
        <w:tc>
          <w:tcPr>
            <w:tcW w:type="dxa" w:w="5200"/>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Returning Track Manager</w:t>
            </w:r>
          </w:p>
        </w:tc>
        <w:tc>
          <w:tcPr>
            <w:tcW w:type="dxa" w:w="4678"/>
            <w:tcMar>
              <w:top w:w="85" w:type="dxa"/>
              <w:start w:w="100" w:type="dxa"/>
              <w:bottom w:w="85" w:type="dxa"/>
              <w:end w:w="100" w:type="dxa"/>
            </w:tcMar>
            <w:vAlign w:val="center"/>
            <w:shd w:fill="FFFFFF" w:val="clear"/>
          </w:tcPr>
          <w:p>
            <w:pPr>
              <w:pStyle w:val="Compact"/>
              <w:widowControl/>
              <w:spacing w:before="0" w:after="30" w:line="240" w:lineRule="auto"/>
              <w:jc w:val="right"/>
            </w:pPr>
            <w:r>
              <w:rPr>
                <w:rFonts w:ascii="Carlito" w:hAnsi="Carlito" w:eastAsia="Carlito"/>
                <w:color w:val="44515C"/>
                <w:sz w:val="17"/>
              </w:rPr>
              <w:t xml:space="preserve">8070</w:t>
            </w:r>
          </w:p>
        </w:tc>
      </w:tr>
      <w:tr>
        <w:trPr>
          <w:cantSplit/>
        </w:trPr>
        <w:tc>
          <w:tcPr>
            <w:tcW w:type="dxa" w:w="5200"/>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Pallet Handling Manager</w:t>
            </w:r>
          </w:p>
        </w:tc>
        <w:tc>
          <w:tcPr>
            <w:tcW w:type="dxa" w:w="4678"/>
            <w:tcMar>
              <w:top w:w="85" w:type="dxa"/>
              <w:start w:w="100" w:type="dxa"/>
              <w:bottom w:w="85" w:type="dxa"/>
              <w:end w:w="100" w:type="dxa"/>
            </w:tcMar>
            <w:vAlign w:val="center"/>
            <w:shd w:fill="FFFFFF" w:val="clear"/>
          </w:tcPr>
          <w:p>
            <w:pPr>
              <w:pStyle w:val="Compact"/>
              <w:widowControl/>
              <w:spacing w:before="0" w:after="30" w:line="240" w:lineRule="auto"/>
              <w:jc w:val="right"/>
            </w:pPr>
            <w:r>
              <w:rPr>
                <w:rFonts w:ascii="Carlito" w:hAnsi="Carlito" w:eastAsia="Carlito"/>
                <w:color w:val="44515C"/>
                <w:sz w:val="17"/>
              </w:rPr>
              <w:t xml:space="preserve">8071</w:t>
            </w:r>
          </w:p>
        </w:tc>
      </w:tr>
      <w:tr>
        <w:trPr>
          <w:cantSplit/>
        </w:trPr>
        <w:tc>
          <w:tcPr>
            <w:tcW w:type="dxa" w:w="5200"/>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Delivery Protection</w:t>
            </w:r>
          </w:p>
        </w:tc>
        <w:tc>
          <w:tcPr>
            <w:tcW w:type="dxa" w:w="4678"/>
            <w:tcMar>
              <w:top w:w="85" w:type="dxa"/>
              <w:start w:w="100" w:type="dxa"/>
              <w:bottom w:w="85" w:type="dxa"/>
              <w:end w:w="100" w:type="dxa"/>
            </w:tcMar>
            <w:vAlign w:val="center"/>
            <w:shd w:fill="FFFFFF" w:val="clear"/>
          </w:tcPr>
          <w:p>
            <w:pPr>
              <w:pStyle w:val="Compact"/>
              <w:widowControl/>
              <w:spacing w:before="0" w:after="30" w:line="240" w:lineRule="auto"/>
              <w:jc w:val="right"/>
            </w:pPr>
            <w:r>
              <w:rPr>
                <w:rFonts w:ascii="Carlito" w:hAnsi="Carlito" w:eastAsia="Carlito"/>
                <w:color w:val="44515C"/>
                <w:sz w:val="17"/>
              </w:rPr>
              <w:t xml:space="preserve">8060</w:t>
            </w:r>
          </w:p>
        </w:tc>
      </w:tr>
      <w:tr>
        <w:trPr>
          <w:cantSplit/>
        </w:trPr>
        <w:tc>
          <w:tcPr>
            <w:tcW w:type="dxa" w:w="5200"/>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Kafka UI</w:t>
            </w:r>
          </w:p>
        </w:tc>
        <w:tc>
          <w:tcPr>
            <w:tcW w:type="dxa" w:w="4678"/>
            <w:tcMar>
              <w:top w:w="85" w:type="dxa"/>
              <w:start w:w="100" w:type="dxa"/>
              <w:bottom w:w="85" w:type="dxa"/>
              <w:end w:w="100" w:type="dxa"/>
            </w:tcMar>
            <w:vAlign w:val="center"/>
            <w:shd w:fill="FFFFFF" w:val="clear"/>
          </w:tcPr>
          <w:p>
            <w:pPr>
              <w:pStyle w:val="Compact"/>
              <w:widowControl/>
              <w:spacing w:before="0" w:after="30" w:line="240" w:lineRule="auto"/>
              <w:jc w:val="right"/>
            </w:pPr>
            <w:r>
              <w:rPr>
                <w:rFonts w:ascii="Carlito" w:hAnsi="Carlito" w:eastAsia="Carlito"/>
                <w:color w:val="44515C"/>
                <w:sz w:val="17"/>
              </w:rPr>
              <w:t xml:space="preserve">8090</w:t>
            </w:r>
          </w:p>
        </w:tc>
      </w:tr>
      <w:tr>
        <w:trPr>
          <w:cantSplit/>
        </w:trPr>
        <w:tc>
          <w:tcPr>
            <w:tcW w:type="dxa" w:w="5200"/>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MySQL</w:t>
            </w:r>
          </w:p>
        </w:tc>
        <w:tc>
          <w:tcPr>
            <w:tcW w:type="dxa" w:w="4678"/>
            <w:tcMar>
              <w:top w:w="85" w:type="dxa"/>
              <w:start w:w="100" w:type="dxa"/>
              <w:bottom w:w="85" w:type="dxa"/>
              <w:end w:w="100" w:type="dxa"/>
            </w:tcMar>
            <w:vAlign w:val="center"/>
            <w:shd w:fill="FFFFFF" w:val="clear"/>
          </w:tcPr>
          <w:p>
            <w:pPr>
              <w:pStyle w:val="Compact"/>
              <w:widowControl/>
              <w:spacing w:before="0" w:after="30" w:line="240" w:lineRule="auto"/>
              <w:jc w:val="right"/>
            </w:pPr>
            <w:r>
              <w:rPr>
                <w:rFonts w:ascii="Carlito" w:hAnsi="Carlito" w:eastAsia="Carlito"/>
                <w:color w:val="44515C"/>
                <w:sz w:val="17"/>
              </w:rPr>
              <w:t xml:space="preserve">3306</w:t>
            </w:r>
          </w:p>
        </w:tc>
      </w:tr>
      <w:tr>
        <w:trPr>
          <w:cantSplit/>
        </w:trPr>
        <w:tc>
          <w:tcPr>
            <w:tcW w:type="dxa" w:w="5200"/>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MongoDB</w:t>
            </w:r>
          </w:p>
        </w:tc>
        <w:tc>
          <w:tcPr>
            <w:tcW w:type="dxa" w:w="4678"/>
            <w:tcMar>
              <w:top w:w="85" w:type="dxa"/>
              <w:start w:w="100" w:type="dxa"/>
              <w:bottom w:w="85" w:type="dxa"/>
              <w:end w:w="100" w:type="dxa"/>
            </w:tcMar>
            <w:vAlign w:val="center"/>
            <w:shd w:fill="FFFFFF" w:val="clear"/>
          </w:tcPr>
          <w:p>
            <w:pPr>
              <w:pStyle w:val="Compact"/>
              <w:widowControl/>
              <w:spacing w:before="0" w:after="30" w:line="240" w:lineRule="auto"/>
              <w:jc w:val="right"/>
            </w:pPr>
            <w:r>
              <w:rPr>
                <w:rFonts w:ascii="Carlito" w:hAnsi="Carlito" w:eastAsia="Carlito"/>
                <w:color w:val="44515C"/>
                <w:sz w:val="17"/>
              </w:rPr>
              <w:t xml:space="preserve">27017</w:t>
            </w:r>
          </w:p>
        </w:tc>
      </w:tr>
      <w:tr>
        <w:trPr>
          <w:cantSplit/>
        </w:trPr>
        <w:tc>
          <w:tcPr>
            <w:tcW w:type="dxa" w:w="5200"/>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Kafka</w:t>
            </w:r>
          </w:p>
        </w:tc>
        <w:tc>
          <w:tcPr>
            <w:tcW w:type="dxa" w:w="4678"/>
            <w:tcMar>
              <w:top w:w="85" w:type="dxa"/>
              <w:start w:w="100" w:type="dxa"/>
              <w:bottom w:w="85" w:type="dxa"/>
              <w:end w:w="100" w:type="dxa"/>
            </w:tcMar>
            <w:vAlign w:val="center"/>
            <w:shd w:fill="FFFFFF" w:val="clear"/>
          </w:tcPr>
          <w:p>
            <w:pPr>
              <w:pStyle w:val="Compact"/>
              <w:widowControl/>
              <w:spacing w:before="0" w:after="30" w:line="240" w:lineRule="auto"/>
              <w:jc w:val="right"/>
            </w:pPr>
            <w:r>
              <w:rPr>
                <w:rFonts w:ascii="Carlito" w:hAnsi="Carlito" w:eastAsia="Carlito"/>
                <w:color w:val="44515C"/>
                <w:sz w:val="17"/>
              </w:rPr>
              <w:t xml:space="preserve">9092</w:t>
            </w:r>
          </w:p>
        </w:tc>
      </w:tr>
      <w:tr>
        <w:trPr>
          <w:cantSplit/>
        </w:trPr>
        <w:tc>
          <w:tcPr>
            <w:tcW w:type="dxa" w:w="5200"/>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ZooKeeper</w:t>
            </w:r>
          </w:p>
        </w:tc>
        <w:tc>
          <w:tcPr>
            <w:tcW w:type="dxa" w:w="4678"/>
            <w:tcMar>
              <w:top w:w="85" w:type="dxa"/>
              <w:start w:w="100" w:type="dxa"/>
              <w:bottom w:w="85" w:type="dxa"/>
              <w:end w:w="100" w:type="dxa"/>
            </w:tcMar>
            <w:vAlign w:val="center"/>
            <w:shd w:fill="FFFFFF" w:val="clear"/>
          </w:tcPr>
          <w:p>
            <w:pPr>
              <w:pStyle w:val="Compact"/>
              <w:widowControl/>
              <w:spacing w:before="0" w:after="30" w:line="240" w:lineRule="auto"/>
              <w:jc w:val="right"/>
            </w:pPr>
            <w:r>
              <w:rPr>
                <w:rFonts w:ascii="Carlito" w:hAnsi="Carlito" w:eastAsia="Carlito"/>
                <w:color w:val="44515C"/>
                <w:sz w:val="17"/>
              </w:rPr>
              <w:t xml:space="preserve">service-specific</w:t>
            </w:r>
          </w:p>
        </w:tc>
      </w:tr>
    </w:tbl>
    <w:p>
      <w:bookmarkStart w:id="675" w:name="mv2_h_0304"/>
      <w:pPr>
        <w:pStyle w:val="Heading2"/>
        <w:keepNext/>
        <w:widowControl/>
        <w:spacing w:after="100"/>
      </w:pPr>
      <w:r>
        <w:t xml:space="preserve">D.2 Representative Main-Application Paths</w:t>
      </w:r>
      <w:bookmarkEnd w:id="675"/>
    </w:p>
    <w:tbl>
      <w:tblPr>
        <w:tblStyle w:val="Table"/>
        <w:tblW w:type="pct" w:w="5000"/>
        <w:jc w:val="center"/>
        <w:tblLayout w:type="fixed"/>
        <w:tblLook w:firstRow="1" w:lastRow="0" w:firstColumn="0" w:lastColumn="0" w:noHBand="0" w:noVBand="0" w:val="0020"/>
        <w:tblBorders>
          <w:top w:val="single" w:sz="4" w:space="0" w:color="D7E0E6"/>
          <w:left w:val="single" w:sz="4" w:space="0" w:color="D7E0E6"/>
          <w:bottom w:val="single" w:sz="4" w:space="0" w:color="D7E0E6"/>
          <w:right w:val="single" w:sz="4" w:space="0" w:color="D7E0E6"/>
          <w:insideH w:val="single" w:sz="4" w:space="0" w:color="D7E0E6"/>
          <w:insideV w:val="single" w:sz="4" w:space="0" w:color="D7E0E6"/>
        </w:tblBorders>
      </w:tblPr>
      <w:tblGrid>
        <w:gridCol w:w="3960"/>
        <w:gridCol w:w="3960"/>
      </w:tblGrid>
      <w:tr>
        <w:trPr>
          <w:tblHeader w:val="true"/>
          <w:cantSplit/>
        </w:trPr>
        <w:tc>
          <w:tcPr>
            <w:tcW w:type="dxa" w:w="2951"/>
            <w:tcMar>
              <w:top w:w="85" w:type="dxa"/>
              <w:start w:w="100" w:type="dxa"/>
              <w:bottom w:w="85" w:type="dxa"/>
              <w:end w:w="100" w:type="dxa"/>
            </w:tcMar>
            <w:vAlign w:val="center"/>
            <w:shd w:fill="17324D" w:val="clear"/>
          </w:tcPr>
          <w:p>
            <w:pPr>
              <w:pStyle w:val="Compact"/>
              <w:widowControl/>
              <w:spacing w:before="0" w:after="30" w:line="240" w:lineRule="auto"/>
              <w:jc w:val="left"/>
            </w:pPr>
            <w:r>
              <w:rPr>
                <w:rFonts w:ascii="Noto Sans" w:hAnsi="Noto Sans" w:eastAsia="Noto Sans"/>
                <w:b/>
                <w:color w:val="FFFFFF"/>
                <w:sz w:val="17"/>
              </w:rPr>
              <w:t xml:space="preserve">Effective path under</w:t>
            </w:r>
            <w:r>
              <w:rPr>
                <w:rFonts w:ascii="Noto Sans" w:hAnsi="Noto Sans" w:eastAsia="Noto Sans"/>
                <w:b/>
                <w:color w:val="FFFFFF"/>
                <w:sz w:val="17"/>
              </w:rPr>
              <w:t xml:space="preserve"> </w:t>
            </w:r>
            <w:r>
              <w:rPr>
                <w:rStyle w:val="VerbatimChar"/>
                <w:rFonts w:ascii="Noto Sans" w:hAnsi="Noto Sans" w:eastAsia="Noto Sans"/>
                <w:b/>
                <w:color w:val="FFFFFF"/>
                <w:sz w:val="17"/>
              </w:rPr>
              <w:t xml:space="preserve">/v2/api</w:t>
            </w:r>
          </w:p>
        </w:tc>
        <w:tc>
          <w:tcPr>
            <w:tcW w:type="dxa" w:w="6768"/>
            <w:tcMar>
              <w:top w:w="85" w:type="dxa"/>
              <w:start w:w="100" w:type="dxa"/>
              <w:bottom w:w="85" w:type="dxa"/>
              <w:end w:w="100" w:type="dxa"/>
            </w:tcMar>
            <w:vAlign w:val="center"/>
            <w:shd w:fill="17324D" w:val="clear"/>
          </w:tcPr>
          <w:p>
            <w:pPr>
              <w:pStyle w:val="Compact"/>
              <w:widowControl/>
              <w:spacing w:before="0" w:after="30" w:line="240" w:lineRule="auto"/>
              <w:jc w:val="left"/>
            </w:pPr>
            <w:r>
              <w:rPr>
                <w:rFonts w:ascii="Noto Sans" w:hAnsi="Noto Sans" w:eastAsia="Noto Sans"/>
                <w:b/>
                <w:color w:val="FFFFFF"/>
                <w:sz w:val="17"/>
              </w:rPr>
              <w:t xml:space="preserve">Intended audience</w:t>
            </w:r>
          </w:p>
        </w:tc>
      </w:tr>
      <w:tr>
        <w:trPr>
          <w:cantSplit/>
        </w:trPr>
        <w:tc>
          <w:tcPr>
            <w:tcW w:type="dxa" w:w="2951"/>
            <w:tcMar>
              <w:top w:w="85" w:type="dxa"/>
              <w:start w:w="100" w:type="dxa"/>
              <w:bottom w:w="85" w:type="dxa"/>
              <w:end w:w="100" w:type="dxa"/>
            </w:tcMar>
            <w:vAlign w:val="center"/>
            <w:shd w:fill="FFFFFF" w:val="clear"/>
          </w:tcPr>
          <w:p>
            <w:pPr>
              <w:pStyle w:val="Compact"/>
              <w:widowControl/>
              <w:spacing w:before="0" w:after="30" w:line="240" w:lineRule="auto"/>
              <w:jc w:val="left"/>
            </w:pPr>
            <w:r>
              <w:rPr>
                <w:rStyle w:val="VerbatimChar"/>
                <w:rFonts w:ascii="Carlito" w:hAnsi="Carlito" w:eastAsia="Carlito"/>
                <w:color w:val="44515C"/>
                <w:sz w:val="17"/>
              </w:rPr>
              <w:t xml:space="preserve">/auth/signup</w:t>
            </w:r>
          </w:p>
        </w:tc>
        <w:tc>
          <w:tcPr>
            <w:tcW w:type="dxa" w:w="676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Public or controlled registration flow.</w:t>
            </w:r>
          </w:p>
        </w:tc>
      </w:tr>
      <w:tr>
        <w:trPr>
          <w:cantSplit/>
        </w:trPr>
        <w:tc>
          <w:tcPr>
            <w:tcW w:type="dxa" w:w="2951"/>
            <w:tcMar>
              <w:top w:w="85" w:type="dxa"/>
              <w:start w:w="100" w:type="dxa"/>
              <w:bottom w:w="85" w:type="dxa"/>
              <w:end w:w="100" w:type="dxa"/>
            </w:tcMar>
            <w:vAlign w:val="center"/>
            <w:shd w:fill="FFFFFF" w:val="clear"/>
          </w:tcPr>
          <w:p>
            <w:pPr>
              <w:pStyle w:val="Compact"/>
              <w:widowControl/>
              <w:spacing w:before="0" w:after="30" w:line="240" w:lineRule="auto"/>
              <w:jc w:val="left"/>
            </w:pPr>
            <w:r>
              <w:rPr>
                <w:rStyle w:val="VerbatimChar"/>
                <w:rFonts w:ascii="Carlito" w:hAnsi="Carlito" w:eastAsia="Carlito"/>
                <w:color w:val="44515C"/>
                <w:sz w:val="17"/>
              </w:rPr>
              <w:t xml:space="preserve">/auth/login</w:t>
            </w:r>
          </w:p>
        </w:tc>
        <w:tc>
          <w:tcPr>
            <w:tcW w:type="dxa" w:w="676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Public authentication endpoint.</w:t>
            </w:r>
          </w:p>
        </w:tc>
      </w:tr>
      <w:tr>
        <w:trPr>
          <w:cantSplit/>
        </w:trPr>
        <w:tc>
          <w:tcPr>
            <w:tcW w:type="dxa" w:w="2951"/>
            <w:tcMar>
              <w:top w:w="85" w:type="dxa"/>
              <w:start w:w="100" w:type="dxa"/>
              <w:bottom w:w="85" w:type="dxa"/>
              <w:end w:w="100" w:type="dxa"/>
            </w:tcMar>
            <w:vAlign w:val="center"/>
            <w:shd w:fill="FFFFFF" w:val="clear"/>
          </w:tcPr>
          <w:p>
            <w:pPr>
              <w:pStyle w:val="Compact"/>
              <w:widowControl/>
              <w:spacing w:before="0" w:after="30" w:line="240" w:lineRule="auto"/>
              <w:jc w:val="left"/>
            </w:pPr>
            <w:r>
              <w:rPr>
                <w:rStyle w:val="VerbatimChar"/>
                <w:rFonts w:ascii="Carlito" w:hAnsi="Carlito" w:eastAsia="Carlito"/>
                <w:color w:val="44515C"/>
                <w:sz w:val="17"/>
              </w:rPr>
              <w:t xml:space="preserve">/auth/refresh</w:t>
            </w:r>
          </w:p>
        </w:tc>
        <w:tc>
          <w:tcPr>
            <w:tcW w:type="dxa" w:w="676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Refresh-cookie holder.</w:t>
            </w:r>
          </w:p>
        </w:tc>
      </w:tr>
      <w:tr>
        <w:trPr>
          <w:cantSplit/>
        </w:trPr>
        <w:tc>
          <w:tcPr>
            <w:tcW w:type="dxa" w:w="2951"/>
            <w:tcMar>
              <w:top w:w="85" w:type="dxa"/>
              <w:start w:w="100" w:type="dxa"/>
              <w:bottom w:w="85" w:type="dxa"/>
              <w:end w:w="100" w:type="dxa"/>
            </w:tcMar>
            <w:vAlign w:val="center"/>
            <w:shd w:fill="FFFFFF" w:val="clear"/>
          </w:tcPr>
          <w:p>
            <w:pPr>
              <w:pStyle w:val="Compact"/>
              <w:widowControl/>
              <w:spacing w:before="0" w:after="30" w:line="240" w:lineRule="auto"/>
              <w:jc w:val="left"/>
            </w:pPr>
            <w:r>
              <w:rPr>
                <w:rStyle w:val="VerbatimChar"/>
                <w:rFonts w:ascii="Carlito" w:hAnsi="Carlito" w:eastAsia="Carlito"/>
                <w:color w:val="44515C"/>
                <w:sz w:val="17"/>
              </w:rPr>
              <w:t xml:space="preserve">/auth/logout</w:t>
            </w:r>
          </w:p>
        </w:tc>
        <w:tc>
          <w:tcPr>
            <w:tcW w:type="dxa" w:w="676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Authenticated or refresh-cookie holder; CSRF as designed.</w:t>
            </w:r>
          </w:p>
        </w:tc>
      </w:tr>
      <w:tr>
        <w:trPr>
          <w:cantSplit/>
        </w:trPr>
        <w:tc>
          <w:tcPr>
            <w:tcW w:type="dxa" w:w="2951"/>
            <w:tcMar>
              <w:top w:w="85" w:type="dxa"/>
              <w:start w:w="100" w:type="dxa"/>
              <w:bottom w:w="85" w:type="dxa"/>
              <w:end w:w="100" w:type="dxa"/>
            </w:tcMar>
            <w:vAlign w:val="center"/>
            <w:shd w:fill="FFFFFF" w:val="clear"/>
          </w:tcPr>
          <w:p>
            <w:pPr>
              <w:pStyle w:val="Compact"/>
              <w:widowControl/>
              <w:spacing w:before="0" w:after="30" w:line="240" w:lineRule="auto"/>
              <w:jc w:val="left"/>
            </w:pPr>
            <w:r>
              <w:rPr>
                <w:rStyle w:val="VerbatimChar"/>
                <w:rFonts w:ascii="Carlito" w:hAnsi="Carlito" w:eastAsia="Carlito"/>
                <w:color w:val="44515C"/>
                <w:sz w:val="17"/>
              </w:rPr>
              <w:t xml:space="preserve">/auth/csrf</w:t>
            </w:r>
          </w:p>
        </w:tc>
        <w:tc>
          <w:tcPr>
            <w:tcW w:type="dxa" w:w="676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Browser client initialization.</w:t>
            </w:r>
          </w:p>
        </w:tc>
      </w:tr>
      <w:tr>
        <w:trPr>
          <w:cantSplit/>
        </w:trPr>
        <w:tc>
          <w:tcPr>
            <w:tcW w:type="dxa" w:w="2951"/>
            <w:tcMar>
              <w:top w:w="85" w:type="dxa"/>
              <w:start w:w="100" w:type="dxa"/>
              <w:bottom w:w="85" w:type="dxa"/>
              <w:end w:w="100" w:type="dxa"/>
            </w:tcMar>
            <w:vAlign w:val="center"/>
            <w:shd w:fill="FFFFFF" w:val="clear"/>
          </w:tcPr>
          <w:p>
            <w:pPr>
              <w:pStyle w:val="Compact"/>
              <w:widowControl/>
              <w:spacing w:before="0" w:after="30" w:line="240" w:lineRule="auto"/>
              <w:jc w:val="left"/>
            </w:pPr>
            <w:r>
              <w:rPr>
                <w:rStyle w:val="VerbatimChar"/>
                <w:rFonts w:ascii="Carlito" w:hAnsi="Carlito" w:eastAsia="Carlito"/>
                <w:color w:val="44515C"/>
                <w:sz w:val="17"/>
              </w:rPr>
              <w:t xml:space="preserve">/auth/me</w:t>
            </w:r>
          </w:p>
        </w:tc>
        <w:tc>
          <w:tcPr>
            <w:tcW w:type="dxa" w:w="676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Authenticated current user.</w:t>
            </w:r>
          </w:p>
        </w:tc>
      </w:tr>
      <w:tr>
        <w:trPr>
          <w:cantSplit/>
        </w:trPr>
        <w:tc>
          <w:tcPr>
            <w:tcW w:type="dxa" w:w="2951"/>
            <w:tcMar>
              <w:top w:w="85" w:type="dxa"/>
              <w:start w:w="100" w:type="dxa"/>
              <w:bottom w:w="85" w:type="dxa"/>
              <w:end w:w="100" w:type="dxa"/>
            </w:tcMar>
            <w:vAlign w:val="center"/>
            <w:shd w:fill="FFFFFF" w:val="clear"/>
          </w:tcPr>
          <w:p>
            <w:pPr>
              <w:pStyle w:val="Compact"/>
              <w:widowControl/>
              <w:spacing w:before="0" w:after="30" w:line="240" w:lineRule="auto"/>
              <w:jc w:val="left"/>
            </w:pPr>
            <w:r>
              <w:rPr>
                <w:rStyle w:val="VerbatimChar"/>
                <w:rFonts w:ascii="Carlito" w:hAnsi="Carlito" w:eastAsia="Carlito"/>
                <w:color w:val="44515C"/>
                <w:sz w:val="17"/>
              </w:rPr>
              <w:t xml:space="preserve">/auth/me/password</w:t>
            </w:r>
          </w:p>
        </w:tc>
        <w:tc>
          <w:tcPr>
            <w:tcW w:type="dxa" w:w="676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Authenticated current user; state-changing CSRF.</w:t>
            </w:r>
          </w:p>
        </w:tc>
      </w:tr>
      <w:tr>
        <w:trPr>
          <w:cantSplit/>
        </w:trPr>
        <w:tc>
          <w:tcPr>
            <w:tcW w:type="dxa" w:w="2951"/>
            <w:tcMar>
              <w:top w:w="85" w:type="dxa"/>
              <w:start w:w="100" w:type="dxa"/>
              <w:bottom w:w="85" w:type="dxa"/>
              <w:end w:w="100" w:type="dxa"/>
            </w:tcMar>
            <w:vAlign w:val="center"/>
            <w:shd w:fill="FFFFFF" w:val="clear"/>
          </w:tcPr>
          <w:p>
            <w:pPr>
              <w:pStyle w:val="Compact"/>
              <w:widowControl/>
              <w:spacing w:before="0" w:after="30" w:line="240" w:lineRule="auto"/>
              <w:jc w:val="left"/>
            </w:pPr>
            <w:r>
              <w:rPr>
                <w:rStyle w:val="VerbatimChar"/>
                <w:rFonts w:ascii="Carlito" w:hAnsi="Carlito" w:eastAsia="Carlito"/>
                <w:color w:val="44515C"/>
                <w:sz w:val="17"/>
              </w:rPr>
              <w:t xml:space="preserve">/auth/me/language</w:t>
            </w:r>
          </w:p>
        </w:tc>
        <w:tc>
          <w:tcPr>
            <w:tcW w:type="dxa" w:w="676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Authenticated current user.</w:t>
            </w:r>
          </w:p>
        </w:tc>
      </w:tr>
      <w:tr>
        <w:trPr>
          <w:cantSplit/>
        </w:trPr>
        <w:tc>
          <w:tcPr>
            <w:tcW w:type="dxa" w:w="2951"/>
            <w:tcMar>
              <w:top w:w="85" w:type="dxa"/>
              <w:start w:w="100" w:type="dxa"/>
              <w:bottom w:w="85" w:type="dxa"/>
              <w:end w:w="100" w:type="dxa"/>
            </w:tcMar>
            <w:vAlign w:val="center"/>
            <w:shd w:fill="FFFFFF" w:val="clear"/>
          </w:tcPr>
          <w:p>
            <w:pPr>
              <w:pStyle w:val="Compact"/>
              <w:widowControl/>
              <w:spacing w:before="0" w:after="30" w:line="240" w:lineRule="auto"/>
              <w:jc w:val="left"/>
            </w:pPr>
            <w:r>
              <w:rPr>
                <w:rStyle w:val="VerbatimChar"/>
                <w:rFonts w:ascii="Carlito" w:hAnsi="Carlito" w:eastAsia="Carlito"/>
                <w:color w:val="44515C"/>
                <w:sz w:val="17"/>
              </w:rPr>
              <w:t xml:space="preserve">/operators/{operatorId}/users</w:t>
            </w:r>
          </w:p>
        </w:tc>
        <w:tc>
          <w:tcPr>
            <w:tcW w:type="dxa" w:w="676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Privileged operator administration.</w:t>
            </w:r>
          </w:p>
        </w:tc>
      </w:tr>
      <w:tr>
        <w:trPr>
          <w:cantSplit/>
        </w:trPr>
        <w:tc>
          <w:tcPr>
            <w:tcW w:type="dxa" w:w="2951"/>
            <w:tcMar>
              <w:top w:w="85" w:type="dxa"/>
              <w:start w:w="100" w:type="dxa"/>
              <w:bottom w:w="85" w:type="dxa"/>
              <w:end w:w="100" w:type="dxa"/>
            </w:tcMar>
            <w:vAlign w:val="center"/>
            <w:shd w:fill="FFFFFF" w:val="clear"/>
          </w:tcPr>
          <w:p>
            <w:pPr>
              <w:pStyle w:val="Compact"/>
              <w:widowControl/>
              <w:spacing w:before="0" w:after="30" w:line="240" w:lineRule="auto"/>
              <w:jc w:val="left"/>
            </w:pPr>
            <w:r>
              <w:rPr>
                <w:rStyle w:val="VerbatimChar"/>
                <w:rFonts w:ascii="Carlito" w:hAnsi="Carlito" w:eastAsia="Carlito"/>
                <w:color w:val="44515C"/>
                <w:sz w:val="17"/>
              </w:rPr>
              <w:t xml:space="preserve">/auth/refresh-tokens</w:t>
            </w:r>
          </w:p>
        </w:tc>
        <w:tc>
          <w:tcPr>
            <w:tcW w:type="dxa" w:w="676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Restricted administration.</w:t>
            </w:r>
          </w:p>
        </w:tc>
      </w:tr>
      <w:tr>
        <w:trPr>
          <w:cantSplit/>
        </w:trPr>
        <w:tc>
          <w:tcPr>
            <w:tcW w:type="dxa" w:w="2951"/>
            <w:tcMar>
              <w:top w:w="85" w:type="dxa"/>
              <w:start w:w="100" w:type="dxa"/>
              <w:bottom w:w="85" w:type="dxa"/>
              <w:end w:w="100" w:type="dxa"/>
            </w:tcMar>
            <w:vAlign w:val="center"/>
            <w:shd w:fill="FFFFFF" w:val="clear"/>
          </w:tcPr>
          <w:p>
            <w:pPr>
              <w:pStyle w:val="Compact"/>
              <w:widowControl/>
              <w:spacing w:before="0" w:after="30" w:line="240" w:lineRule="auto"/>
              <w:jc w:val="left"/>
            </w:pPr>
            <w:r>
              <w:rPr>
                <w:rStyle w:val="VerbatimChar"/>
                <w:rFonts w:ascii="Carlito" w:hAnsi="Carlito" w:eastAsia="Carlito"/>
                <w:color w:val="44515C"/>
                <w:sz w:val="17"/>
              </w:rPr>
              <w:t xml:space="preserve">/users/**</w:t>
            </w:r>
          </w:p>
        </w:tc>
        <w:tc>
          <w:tcPr>
            <w:tcW w:type="dxa" w:w="676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Authenticated and permission-scoped administration.</w:t>
            </w:r>
          </w:p>
        </w:tc>
      </w:tr>
      <w:tr>
        <w:trPr>
          <w:cantSplit/>
        </w:trPr>
        <w:tc>
          <w:tcPr>
            <w:tcW w:type="dxa" w:w="2951"/>
            <w:tcMar>
              <w:top w:w="85" w:type="dxa"/>
              <w:start w:w="100" w:type="dxa"/>
              <w:bottom w:w="85" w:type="dxa"/>
              <w:end w:w="100" w:type="dxa"/>
            </w:tcMar>
            <w:vAlign w:val="center"/>
            <w:shd w:fill="FFFFFF" w:val="clear"/>
          </w:tcPr>
          <w:p>
            <w:pPr>
              <w:pStyle w:val="Compact"/>
              <w:widowControl/>
              <w:spacing w:before="0" w:after="30" w:line="240" w:lineRule="auto"/>
              <w:jc w:val="left"/>
            </w:pPr>
            <w:r>
              <w:rPr>
                <w:rStyle w:val="VerbatimChar"/>
                <w:rFonts w:ascii="Carlito" w:hAnsi="Carlito" w:eastAsia="Carlito"/>
                <w:color w:val="44515C"/>
                <w:sz w:val="17"/>
              </w:rPr>
              <w:t xml:space="preserve">/internal/**</w:t>
            </w:r>
          </w:p>
        </w:tc>
        <w:tc>
          <w:tcPr>
            <w:tcW w:type="dxa" w:w="676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Trusted service identity only.</w:t>
            </w:r>
          </w:p>
        </w:tc>
      </w:tr>
      <w:tr>
        <w:trPr>
          <w:cantSplit/>
        </w:trPr>
        <w:tc>
          <w:tcPr>
            <w:tcW w:type="dxa" w:w="2951"/>
            <w:tcMar>
              <w:top w:w="85" w:type="dxa"/>
              <w:start w:w="100" w:type="dxa"/>
              <w:bottom w:w="85" w:type="dxa"/>
              <w:end w:w="100" w:type="dxa"/>
            </w:tcMar>
            <w:vAlign w:val="center"/>
            <w:shd w:fill="FFFFFF" w:val="clear"/>
          </w:tcPr>
          <w:p>
            <w:pPr>
              <w:pStyle w:val="Compact"/>
              <w:widowControl/>
              <w:spacing w:before="0" w:after="30" w:line="240" w:lineRule="auto"/>
              <w:jc w:val="left"/>
            </w:pPr>
            <w:r>
              <w:rPr>
                <w:rStyle w:val="VerbatimChar"/>
                <w:rFonts w:ascii="Carlito" w:hAnsi="Carlito" w:eastAsia="Carlito"/>
                <w:color w:val="44515C"/>
                <w:sz w:val="17"/>
              </w:rPr>
              <w:t xml:space="preserve">/v3/api-docs/**</w:t>
            </w:r>
            <w:r>
              <w:rPr>
                <w:rFonts w:ascii="Carlito" w:hAnsi="Carlito" w:eastAsia="Carlito"/>
                <w:color w:val="44515C"/>
                <w:sz w:val="17"/>
              </w:rPr>
              <w:t xml:space="preserve"> </w:t>
            </w:r>
            <w:r>
              <w:rPr>
                <w:rFonts w:ascii="Carlito" w:hAnsi="Carlito" w:eastAsia="Carlito"/>
                <w:color w:val="44515C"/>
                <w:sz w:val="17"/>
              </w:rPr>
              <w:t xml:space="preserve">and Swagger paths</w:t>
            </w:r>
          </w:p>
        </w:tc>
        <w:tc>
          <w:tcPr>
            <w:tcW w:type="dxa" w:w="676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Local/development or restricted documentation.</w:t>
            </w:r>
          </w:p>
        </w:tc>
      </w:tr>
      <w:tr>
        <w:trPr>
          <w:cantSplit/>
        </w:trPr>
        <w:tc>
          <w:tcPr>
            <w:tcW w:type="dxa" w:w="2951"/>
            <w:tcMar>
              <w:top w:w="85" w:type="dxa"/>
              <w:start w:w="100" w:type="dxa"/>
              <w:bottom w:w="85" w:type="dxa"/>
              <w:end w:w="100" w:type="dxa"/>
            </w:tcMar>
            <w:vAlign w:val="center"/>
            <w:shd w:fill="FFFFFF" w:val="clear"/>
          </w:tcPr>
          <w:p>
            <w:pPr>
              <w:pStyle w:val="Compact"/>
              <w:widowControl/>
              <w:spacing w:before="0" w:after="30" w:line="240" w:lineRule="auto"/>
              <w:jc w:val="left"/>
            </w:pPr>
            <w:r>
              <w:rPr>
                <w:rStyle w:val="VerbatimChar"/>
                <w:rFonts w:ascii="Carlito" w:hAnsi="Carlito" w:eastAsia="Carlito"/>
                <w:color w:val="44515C"/>
                <w:sz w:val="17"/>
              </w:rPr>
              <w:t xml:space="preserve">/actuator/**</w:t>
            </w:r>
          </w:p>
        </w:tc>
        <w:tc>
          <w:tcPr>
            <w:tcW w:type="dxa" w:w="676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Restricted operations access.</w:t>
            </w:r>
          </w:p>
        </w:tc>
      </w:tr>
    </w:tbl>
    <w:p>
      <w:bookmarkStart w:id="702" w:name="mv2_h_0331"/>
      <w:pPr>
        <w:pStyle w:val="Heading1"/>
        <w:keepNext/>
        <w:widowControl/>
        <w:spacing w:after="100"/>
      </w:pPr>
      <w:r>
        <w:t xml:space="preserve">Appendix E. Glossary</w:t>
      </w:r>
      <w:bookmarkEnd w:id="702"/>
    </w:p>
    <w:tbl>
      <w:tblPr>
        <w:tblStyle w:val="Table"/>
        <w:tblW w:type="pct" w:w="5000"/>
        <w:jc w:val="center"/>
        <w:tblLayout w:type="fixed"/>
        <w:tblLook w:firstRow="1" w:lastRow="0" w:firstColumn="0" w:lastColumn="0" w:noHBand="0" w:noVBand="0" w:val="0020"/>
        <w:tblBorders>
          <w:top w:val="single" w:sz="4" w:space="0" w:color="D7E0E6"/>
          <w:left w:val="single" w:sz="4" w:space="0" w:color="D7E0E6"/>
          <w:bottom w:val="single" w:sz="4" w:space="0" w:color="D7E0E6"/>
          <w:right w:val="single" w:sz="4" w:space="0" w:color="D7E0E6"/>
          <w:insideH w:val="single" w:sz="4" w:space="0" w:color="D7E0E6"/>
          <w:insideV w:val="single" w:sz="4" w:space="0" w:color="D7E0E6"/>
        </w:tblBorders>
      </w:tblPr>
      <w:tblGrid>
        <w:gridCol w:w="3960"/>
        <w:gridCol w:w="3960"/>
      </w:tblGrid>
      <w:tr>
        <w:trPr>
          <w:tblHeader w:val="true"/>
          <w:cantSplit/>
        </w:trPr>
        <w:tc>
          <w:tcPr>
            <w:tcW w:type="dxa" w:w="2951"/>
            <w:tcMar>
              <w:top w:w="35" w:type="dxa"/>
              <w:start w:w="100" w:type="dxa"/>
              <w:bottom w:w="35" w:type="dxa"/>
              <w:end w:w="100" w:type="dxa"/>
            </w:tcMar>
            <w:vAlign w:val="center"/>
            <w:shd w:fill="17324D" w:val="clear"/>
          </w:tcPr>
          <w:p>
            <w:pPr>
              <w:pStyle w:val="Compact"/>
              <w:widowControl/>
              <w:spacing w:before="0" w:after="8" w:line="240" w:lineRule="auto"/>
              <w:jc w:val="left"/>
            </w:pPr>
            <w:r>
              <w:rPr>
                <w:rFonts w:ascii="Noto Sans" w:hAnsi="Noto Sans" w:eastAsia="Noto Sans"/>
                <w:b/>
                <w:color w:val="FFFFFF"/>
                <w:sz w:val="17"/>
              </w:rPr>
              <w:t xml:space="preserve">Term</w:t>
            </w:r>
          </w:p>
        </w:tc>
        <w:tc>
          <w:tcPr>
            <w:tcW w:type="dxa" w:w="6768"/>
            <w:tcMar>
              <w:top w:w="35" w:type="dxa"/>
              <w:start w:w="100" w:type="dxa"/>
              <w:bottom w:w="35" w:type="dxa"/>
              <w:end w:w="100" w:type="dxa"/>
            </w:tcMar>
            <w:vAlign w:val="center"/>
            <w:shd w:fill="17324D" w:val="clear"/>
          </w:tcPr>
          <w:p>
            <w:pPr>
              <w:pStyle w:val="Compact"/>
              <w:widowControl/>
              <w:spacing w:before="0" w:after="8" w:line="240" w:lineRule="auto"/>
              <w:jc w:val="left"/>
            </w:pPr>
            <w:r>
              <w:rPr>
                <w:rFonts w:ascii="Noto Sans" w:hAnsi="Noto Sans" w:eastAsia="Noto Sans"/>
                <w:b/>
                <w:color w:val="FFFFFF"/>
                <w:sz w:val="17"/>
              </w:rPr>
              <w:t xml:space="preserve">Definition</w:t>
            </w:r>
          </w:p>
        </w:tc>
      </w:tr>
      <w:tr>
        <w:trPr>
          <w:cantSplit/>
        </w:trPr>
        <w:tc>
          <w:tcPr>
            <w:tcW w:type="dxa" w:w="2951"/>
            <w:tcMar>
              <w:top w:w="35" w:type="dxa"/>
              <w:start w:w="100" w:type="dxa"/>
              <w:bottom w:w="35" w:type="dxa"/>
              <w:end w:w="100" w:type="dxa"/>
            </w:tcMar>
            <w:vAlign w:val="center"/>
            <w:shd w:fill="FFFFFF" w:val="clear"/>
          </w:tcPr>
          <w:p>
            <w:pPr>
              <w:pStyle w:val="Compact"/>
              <w:widowControl/>
              <w:spacing w:before="0" w:after="8" w:line="240" w:lineRule="auto"/>
              <w:jc w:val="left"/>
            </w:pPr>
            <w:r>
              <w:rPr>
                <w:rFonts w:ascii="Carlito" w:hAnsi="Carlito" w:eastAsia="Carlito"/>
                <w:color w:val="44515C"/>
                <w:sz w:val="16"/>
              </w:rPr>
              <w:t xml:space="preserve">Access token</w:t>
            </w:r>
          </w:p>
        </w:tc>
        <w:tc>
          <w:tcPr>
            <w:tcW w:type="dxa" w:w="6768"/>
            <w:tcMar>
              <w:top w:w="35" w:type="dxa"/>
              <w:start w:w="100" w:type="dxa"/>
              <w:bottom w:w="35" w:type="dxa"/>
              <w:end w:w="100" w:type="dxa"/>
            </w:tcMar>
            <w:vAlign w:val="center"/>
            <w:shd w:fill="FFFFFF" w:val="clear"/>
          </w:tcPr>
          <w:p>
            <w:pPr>
              <w:pStyle w:val="Compact"/>
              <w:widowControl/>
              <w:spacing w:before="0" w:after="8" w:line="240" w:lineRule="auto"/>
              <w:jc w:val="left"/>
            </w:pPr>
            <w:r>
              <w:rPr>
                <w:rFonts w:ascii="Carlito" w:hAnsi="Carlito" w:eastAsia="Carlito"/>
                <w:color w:val="44515C"/>
                <w:sz w:val="16"/>
              </w:rPr>
              <w:t xml:space="preserve">Short-lived JWT used to authenticate API calls.</w:t>
            </w:r>
          </w:p>
        </w:tc>
      </w:tr>
      <w:tr>
        <w:trPr>
          <w:cantSplit/>
        </w:trPr>
        <w:tc>
          <w:tcPr>
            <w:tcW w:type="dxa" w:w="2951"/>
            <w:tcMar>
              <w:top w:w="35" w:type="dxa"/>
              <w:start w:w="100" w:type="dxa"/>
              <w:bottom w:w="35" w:type="dxa"/>
              <w:end w:w="100" w:type="dxa"/>
            </w:tcMar>
            <w:vAlign w:val="center"/>
            <w:shd w:fill="FFFFFF" w:val="clear"/>
          </w:tcPr>
          <w:p>
            <w:pPr>
              <w:pStyle w:val="Compact"/>
              <w:widowControl/>
              <w:spacing w:before="0" w:after="8" w:line="240" w:lineRule="auto"/>
              <w:jc w:val="left"/>
            </w:pPr>
            <w:r>
              <w:rPr>
                <w:rFonts w:ascii="Carlito" w:hAnsi="Carlito" w:eastAsia="Carlito"/>
                <w:color w:val="44515C"/>
                <w:sz w:val="16"/>
              </w:rPr>
              <w:t xml:space="preserve">Adapter</w:t>
            </w:r>
          </w:p>
        </w:tc>
        <w:tc>
          <w:tcPr>
            <w:tcW w:type="dxa" w:w="6768"/>
            <w:tcMar>
              <w:top w:w="35" w:type="dxa"/>
              <w:start w:w="100" w:type="dxa"/>
              <w:bottom w:w="35" w:type="dxa"/>
              <w:end w:w="100" w:type="dxa"/>
            </w:tcMar>
            <w:vAlign w:val="center"/>
            <w:shd w:fill="FFFFFF" w:val="clear"/>
          </w:tcPr>
          <w:p>
            <w:pPr>
              <w:pStyle w:val="Compact"/>
              <w:widowControl/>
              <w:spacing w:before="0" w:after="8" w:line="240" w:lineRule="auto"/>
              <w:jc w:val="left"/>
            </w:pPr>
            <w:r>
              <w:rPr>
                <w:rFonts w:ascii="Carlito" w:hAnsi="Carlito" w:eastAsia="Carlito"/>
                <w:color w:val="44515C"/>
                <w:sz w:val="16"/>
              </w:rPr>
              <w:t xml:space="preserve">Code that connects an application port to HTTP, database, Kafka, mail, or an external provider.</w:t>
            </w:r>
          </w:p>
        </w:tc>
      </w:tr>
      <w:tr>
        <w:trPr>
          <w:cantSplit/>
        </w:trPr>
        <w:tc>
          <w:tcPr>
            <w:tcW w:type="dxa" w:w="2951"/>
            <w:tcMar>
              <w:top w:w="35" w:type="dxa"/>
              <w:start w:w="100" w:type="dxa"/>
              <w:bottom w:w="35" w:type="dxa"/>
              <w:end w:w="100" w:type="dxa"/>
            </w:tcMar>
            <w:vAlign w:val="center"/>
            <w:shd w:fill="FFFFFF" w:val="clear"/>
          </w:tcPr>
          <w:p>
            <w:pPr>
              <w:pStyle w:val="Compact"/>
              <w:widowControl/>
              <w:spacing w:before="0" w:after="8" w:line="240" w:lineRule="auto"/>
              <w:jc w:val="left"/>
            </w:pPr>
            <w:r>
              <w:rPr>
                <w:rFonts w:ascii="Carlito" w:hAnsi="Carlito" w:eastAsia="Carlito"/>
                <w:color w:val="44515C"/>
                <w:sz w:val="16"/>
              </w:rPr>
              <w:t xml:space="preserve">Aggregate</w:t>
            </w:r>
          </w:p>
        </w:tc>
        <w:tc>
          <w:tcPr>
            <w:tcW w:type="dxa" w:w="6768"/>
            <w:tcMar>
              <w:top w:w="35" w:type="dxa"/>
              <w:start w:w="100" w:type="dxa"/>
              <w:bottom w:w="35" w:type="dxa"/>
              <w:end w:w="100" w:type="dxa"/>
            </w:tcMar>
            <w:vAlign w:val="center"/>
            <w:shd w:fill="FFFFFF" w:val="clear"/>
          </w:tcPr>
          <w:p>
            <w:pPr>
              <w:pStyle w:val="Compact"/>
              <w:widowControl/>
              <w:spacing w:before="0" w:after="8" w:line="240" w:lineRule="auto"/>
              <w:jc w:val="left"/>
            </w:pPr>
            <w:r>
              <w:rPr>
                <w:rFonts w:ascii="Carlito" w:hAnsi="Carlito" w:eastAsia="Carlito"/>
                <w:color w:val="44515C"/>
                <w:sz w:val="16"/>
              </w:rPr>
              <w:t xml:space="preserve">Domain consistency boundary that protects business invariants.</w:t>
            </w:r>
          </w:p>
        </w:tc>
      </w:tr>
      <w:tr>
        <w:trPr>
          <w:cantSplit/>
        </w:trPr>
        <w:tc>
          <w:tcPr>
            <w:tcW w:type="dxa" w:w="2951"/>
            <w:tcMar>
              <w:top w:w="35" w:type="dxa"/>
              <w:start w:w="100" w:type="dxa"/>
              <w:bottom w:w="35" w:type="dxa"/>
              <w:end w:w="100" w:type="dxa"/>
            </w:tcMar>
            <w:vAlign w:val="center"/>
            <w:shd w:fill="FFFFFF" w:val="clear"/>
          </w:tcPr>
          <w:p>
            <w:pPr>
              <w:pStyle w:val="Compact"/>
              <w:widowControl/>
              <w:spacing w:before="0" w:after="8" w:line="240" w:lineRule="auto"/>
              <w:jc w:val="left"/>
            </w:pPr>
            <w:r>
              <w:rPr>
                <w:rFonts w:ascii="Carlito" w:hAnsi="Carlito" w:eastAsia="Carlito"/>
                <w:color w:val="44515C"/>
                <w:sz w:val="16"/>
              </w:rPr>
              <w:t xml:space="preserve">API artifact</w:t>
            </w:r>
          </w:p>
        </w:tc>
        <w:tc>
          <w:tcPr>
            <w:tcW w:type="dxa" w:w="6768"/>
            <w:tcMar>
              <w:top w:w="35" w:type="dxa"/>
              <w:start w:w="100" w:type="dxa"/>
              <w:bottom w:w="35" w:type="dxa"/>
              <w:end w:w="100" w:type="dxa"/>
            </w:tcMar>
            <w:vAlign w:val="center"/>
            <w:shd w:fill="FFFFFF" w:val="clear"/>
          </w:tcPr>
          <w:p>
            <w:pPr>
              <w:pStyle w:val="Compact"/>
              <w:widowControl/>
              <w:spacing w:before="0" w:after="8" w:line="240" w:lineRule="auto"/>
              <w:jc w:val="left"/>
            </w:pPr>
            <w:r>
              <w:rPr>
                <w:rFonts w:ascii="Carlito" w:hAnsi="Carlito" w:eastAsia="Carlito"/>
                <w:color w:val="44515C"/>
                <w:sz w:val="16"/>
              </w:rPr>
              <w:t xml:space="preserve">Maven module containing public contracts for a feature.</w:t>
            </w:r>
          </w:p>
        </w:tc>
      </w:tr>
      <w:tr>
        <w:trPr>
          <w:cantSplit/>
        </w:trPr>
        <w:tc>
          <w:tcPr>
            <w:tcW w:type="dxa" w:w="2951"/>
            <w:tcMar>
              <w:top w:w="35" w:type="dxa"/>
              <w:start w:w="100" w:type="dxa"/>
              <w:bottom w:w="35" w:type="dxa"/>
              <w:end w:w="100" w:type="dxa"/>
            </w:tcMar>
            <w:vAlign w:val="center"/>
            <w:shd w:fill="FFFFFF" w:val="clear"/>
          </w:tcPr>
          <w:p>
            <w:pPr>
              <w:pStyle w:val="Compact"/>
              <w:widowControl/>
              <w:spacing w:before="0" w:after="8" w:line="240" w:lineRule="auto"/>
              <w:jc w:val="left"/>
            </w:pPr>
            <w:r>
              <w:rPr>
                <w:rFonts w:ascii="Carlito" w:hAnsi="Carlito" w:eastAsia="Carlito"/>
                <w:color w:val="44515C"/>
                <w:sz w:val="16"/>
              </w:rPr>
              <w:t xml:space="preserve">Causation ID</w:t>
            </w:r>
          </w:p>
        </w:tc>
        <w:tc>
          <w:tcPr>
            <w:tcW w:type="dxa" w:w="6768"/>
            <w:tcMar>
              <w:top w:w="35" w:type="dxa"/>
              <w:start w:w="100" w:type="dxa"/>
              <w:bottom w:w="35" w:type="dxa"/>
              <w:end w:w="100" w:type="dxa"/>
            </w:tcMar>
            <w:vAlign w:val="center"/>
            <w:shd w:fill="FFFFFF" w:val="clear"/>
          </w:tcPr>
          <w:p>
            <w:pPr>
              <w:pStyle w:val="Compact"/>
              <w:widowControl/>
              <w:spacing w:before="0" w:after="8" w:line="240" w:lineRule="auto"/>
              <w:jc w:val="left"/>
            </w:pPr>
            <w:r>
              <w:rPr>
                <w:rFonts w:ascii="Carlito" w:hAnsi="Carlito" w:eastAsia="Carlito"/>
                <w:color w:val="44515C"/>
                <w:sz w:val="16"/>
              </w:rPr>
              <w:t xml:space="preserve">Identifier of the command or event that caused another event.</w:t>
            </w:r>
          </w:p>
        </w:tc>
      </w:tr>
      <w:tr>
        <w:trPr>
          <w:cantSplit/>
        </w:trPr>
        <w:tc>
          <w:tcPr>
            <w:tcW w:type="dxa" w:w="2951"/>
            <w:tcMar>
              <w:top w:w="35" w:type="dxa"/>
              <w:start w:w="100" w:type="dxa"/>
              <w:bottom w:w="35" w:type="dxa"/>
              <w:end w:w="100" w:type="dxa"/>
            </w:tcMar>
            <w:vAlign w:val="center"/>
            <w:shd w:fill="FFFFFF" w:val="clear"/>
          </w:tcPr>
          <w:p>
            <w:pPr>
              <w:pStyle w:val="Compact"/>
              <w:widowControl/>
              <w:spacing w:before="0" w:after="8" w:line="240" w:lineRule="auto"/>
              <w:jc w:val="left"/>
            </w:pPr>
            <w:r>
              <w:rPr>
                <w:rFonts w:ascii="Carlito" w:hAnsi="Carlito" w:eastAsia="Carlito"/>
                <w:color w:val="44515C"/>
                <w:sz w:val="16"/>
              </w:rPr>
              <w:t xml:space="preserve">Correlation ID</w:t>
            </w:r>
          </w:p>
        </w:tc>
        <w:tc>
          <w:tcPr>
            <w:tcW w:type="dxa" w:w="6768"/>
            <w:tcMar>
              <w:top w:w="35" w:type="dxa"/>
              <w:start w:w="100" w:type="dxa"/>
              <w:bottom w:w="35" w:type="dxa"/>
              <w:end w:w="100" w:type="dxa"/>
            </w:tcMar>
            <w:vAlign w:val="center"/>
            <w:shd w:fill="FFFFFF" w:val="clear"/>
          </w:tcPr>
          <w:p>
            <w:pPr>
              <w:pStyle w:val="Compact"/>
              <w:widowControl/>
              <w:spacing w:before="0" w:after="8" w:line="240" w:lineRule="auto"/>
              <w:jc w:val="left"/>
            </w:pPr>
            <w:r>
              <w:rPr>
                <w:rFonts w:ascii="Carlito" w:hAnsi="Carlito" w:eastAsia="Carlito"/>
                <w:color w:val="44515C"/>
                <w:sz w:val="16"/>
              </w:rPr>
              <w:t xml:space="preserve">Identifier linking work across requests, services, events, and logs.</w:t>
            </w:r>
          </w:p>
        </w:tc>
      </w:tr>
      <w:tr>
        <w:trPr>
          <w:cantSplit/>
        </w:trPr>
        <w:tc>
          <w:tcPr>
            <w:tcW w:type="dxa" w:w="2951"/>
            <w:tcMar>
              <w:top w:w="35" w:type="dxa"/>
              <w:start w:w="100" w:type="dxa"/>
              <w:bottom w:w="35" w:type="dxa"/>
              <w:end w:w="100" w:type="dxa"/>
            </w:tcMar>
            <w:vAlign w:val="center"/>
            <w:shd w:fill="FFFFFF" w:val="clear"/>
          </w:tcPr>
          <w:p>
            <w:pPr>
              <w:pStyle w:val="Compact"/>
              <w:widowControl/>
              <w:spacing w:before="0" w:after="8" w:line="240" w:lineRule="auto"/>
              <w:jc w:val="left"/>
            </w:pPr>
            <w:r>
              <w:rPr>
                <w:rFonts w:ascii="Carlito" w:hAnsi="Carlito" w:eastAsia="Carlito"/>
                <w:color w:val="44515C"/>
                <w:sz w:val="16"/>
              </w:rPr>
              <w:t xml:space="preserve">CSRF</w:t>
            </w:r>
          </w:p>
        </w:tc>
        <w:tc>
          <w:tcPr>
            <w:tcW w:type="dxa" w:w="6768"/>
            <w:tcMar>
              <w:top w:w="35" w:type="dxa"/>
              <w:start w:w="100" w:type="dxa"/>
              <w:bottom w:w="35" w:type="dxa"/>
              <w:end w:w="100" w:type="dxa"/>
            </w:tcMar>
            <w:vAlign w:val="center"/>
            <w:shd w:fill="FFFFFF" w:val="clear"/>
          </w:tcPr>
          <w:p>
            <w:pPr>
              <w:pStyle w:val="Compact"/>
              <w:widowControl/>
              <w:spacing w:before="0" w:after="8" w:line="240" w:lineRule="auto"/>
              <w:jc w:val="left"/>
            </w:pPr>
            <w:r>
              <w:rPr>
                <w:rFonts w:ascii="Carlito" w:hAnsi="Carlito" w:eastAsia="Carlito"/>
                <w:color w:val="44515C"/>
                <w:sz w:val="16"/>
              </w:rPr>
              <w:t xml:space="preserve">Cross-Site Request Forgery; a browser attack mitigated by anti-CSRF token validation for cookie-authenticated mutations.</w:t>
            </w:r>
          </w:p>
        </w:tc>
      </w:tr>
      <w:tr>
        <w:trPr>
          <w:cantSplit/>
        </w:trPr>
        <w:tc>
          <w:tcPr>
            <w:tcW w:type="dxa" w:w="2951"/>
            <w:tcMar>
              <w:top w:w="35" w:type="dxa"/>
              <w:start w:w="100" w:type="dxa"/>
              <w:bottom w:w="35" w:type="dxa"/>
              <w:end w:w="100" w:type="dxa"/>
            </w:tcMar>
            <w:vAlign w:val="center"/>
            <w:shd w:fill="FFFFFF" w:val="clear"/>
          </w:tcPr>
          <w:p>
            <w:pPr>
              <w:pStyle w:val="Compact"/>
              <w:widowControl/>
              <w:spacing w:before="0" w:after="8" w:line="240" w:lineRule="auto"/>
              <w:jc w:val="left"/>
            </w:pPr>
            <w:r>
              <w:rPr>
                <w:rFonts w:ascii="Carlito" w:hAnsi="Carlito" w:eastAsia="Carlito"/>
                <w:color w:val="44515C"/>
                <w:sz w:val="16"/>
              </w:rPr>
              <w:t xml:space="preserve">Dead-letter topic</w:t>
            </w:r>
          </w:p>
        </w:tc>
        <w:tc>
          <w:tcPr>
            <w:tcW w:type="dxa" w:w="6768"/>
            <w:tcMar>
              <w:top w:w="35" w:type="dxa"/>
              <w:start w:w="100" w:type="dxa"/>
              <w:bottom w:w="35" w:type="dxa"/>
              <w:end w:w="100" w:type="dxa"/>
            </w:tcMar>
            <w:vAlign w:val="center"/>
            <w:shd w:fill="FFFFFF" w:val="clear"/>
          </w:tcPr>
          <w:p>
            <w:pPr>
              <w:pStyle w:val="Compact"/>
              <w:widowControl/>
              <w:spacing w:before="0" w:after="8" w:line="240" w:lineRule="auto"/>
              <w:jc w:val="left"/>
            </w:pPr>
            <w:r>
              <w:rPr>
                <w:rFonts w:ascii="Carlito" w:hAnsi="Carlito" w:eastAsia="Carlito"/>
                <w:color w:val="44515C"/>
                <w:sz w:val="16"/>
              </w:rPr>
              <w:t xml:space="preserve">Kafka destination for records that cannot be processed after policy-defined handling.</w:t>
            </w:r>
          </w:p>
        </w:tc>
      </w:tr>
      <w:tr>
        <w:trPr>
          <w:cantSplit/>
        </w:trPr>
        <w:tc>
          <w:tcPr>
            <w:tcW w:type="dxa" w:w="2951"/>
            <w:tcMar>
              <w:top w:w="35" w:type="dxa"/>
              <w:start w:w="100" w:type="dxa"/>
              <w:bottom w:w="35" w:type="dxa"/>
              <w:end w:w="100" w:type="dxa"/>
            </w:tcMar>
            <w:vAlign w:val="center"/>
            <w:shd w:fill="FFFFFF" w:val="clear"/>
          </w:tcPr>
          <w:p>
            <w:pPr>
              <w:pStyle w:val="Compact"/>
              <w:widowControl/>
              <w:spacing w:before="0" w:after="8" w:line="240" w:lineRule="auto"/>
              <w:jc w:val="left"/>
            </w:pPr>
            <w:r>
              <w:rPr>
                <w:rFonts w:ascii="Carlito" w:hAnsi="Carlito" w:eastAsia="Carlito"/>
                <w:color w:val="44515C"/>
                <w:sz w:val="16"/>
              </w:rPr>
              <w:t xml:space="preserve">Eureka</w:t>
            </w:r>
          </w:p>
        </w:tc>
        <w:tc>
          <w:tcPr>
            <w:tcW w:type="dxa" w:w="6768"/>
            <w:tcMar>
              <w:top w:w="35" w:type="dxa"/>
              <w:start w:w="100" w:type="dxa"/>
              <w:bottom w:w="35" w:type="dxa"/>
              <w:end w:w="100" w:type="dxa"/>
            </w:tcMar>
            <w:vAlign w:val="center"/>
            <w:shd w:fill="FFFFFF" w:val="clear"/>
          </w:tcPr>
          <w:p>
            <w:pPr>
              <w:pStyle w:val="Compact"/>
              <w:widowControl/>
              <w:spacing w:before="0" w:after="8" w:line="240" w:lineRule="auto"/>
              <w:jc w:val="left"/>
            </w:pPr>
            <w:r>
              <w:rPr>
                <w:rFonts w:ascii="Carlito" w:hAnsi="Carlito" w:eastAsia="Carlito"/>
                <w:color w:val="44515C"/>
                <w:sz w:val="16"/>
              </w:rPr>
              <w:t xml:space="preserve">Service registry used for discovery.</w:t>
            </w:r>
          </w:p>
        </w:tc>
      </w:tr>
      <w:tr>
        <w:trPr>
          <w:cantSplit/>
        </w:trPr>
        <w:tc>
          <w:tcPr>
            <w:tcW w:type="dxa" w:w="2951"/>
            <w:tcMar>
              <w:top w:w="35" w:type="dxa"/>
              <w:start w:w="100" w:type="dxa"/>
              <w:bottom w:w="35" w:type="dxa"/>
              <w:end w:w="100" w:type="dxa"/>
            </w:tcMar>
            <w:vAlign w:val="center"/>
            <w:shd w:fill="FFFFFF" w:val="clear"/>
          </w:tcPr>
          <w:p>
            <w:pPr>
              <w:pStyle w:val="Compact"/>
              <w:widowControl/>
              <w:spacing w:before="0" w:after="8" w:line="240" w:lineRule="auto"/>
              <w:jc w:val="left"/>
            </w:pPr>
            <w:r>
              <w:rPr>
                <w:rFonts w:ascii="Carlito" w:hAnsi="Carlito" w:eastAsia="Carlito"/>
                <w:color w:val="44515C"/>
                <w:sz w:val="16"/>
              </w:rPr>
              <w:t xml:space="preserve">Feign</w:t>
            </w:r>
          </w:p>
        </w:tc>
        <w:tc>
          <w:tcPr>
            <w:tcW w:type="dxa" w:w="6768"/>
            <w:tcMar>
              <w:top w:w="35" w:type="dxa"/>
              <w:start w:w="100" w:type="dxa"/>
              <w:bottom w:w="35" w:type="dxa"/>
              <w:end w:w="100" w:type="dxa"/>
            </w:tcMar>
            <w:vAlign w:val="center"/>
            <w:shd w:fill="FFFFFF" w:val="clear"/>
          </w:tcPr>
          <w:p>
            <w:pPr>
              <w:pStyle w:val="Compact"/>
              <w:widowControl/>
              <w:spacing w:before="0" w:after="8" w:line="240" w:lineRule="auto"/>
              <w:jc w:val="left"/>
            </w:pPr>
            <w:r>
              <w:rPr>
                <w:rFonts w:ascii="Carlito" w:hAnsi="Carlito" w:eastAsia="Carlito"/>
                <w:color w:val="44515C"/>
                <w:sz w:val="16"/>
              </w:rPr>
              <w:t xml:space="preserve">Declarative HTTP-client integration used by Spring applications.</w:t>
            </w:r>
          </w:p>
        </w:tc>
      </w:tr>
      <w:tr>
        <w:trPr>
          <w:cantSplit/>
        </w:trPr>
        <w:tc>
          <w:tcPr>
            <w:tcW w:type="dxa" w:w="2951"/>
            <w:tcMar>
              <w:top w:w="35" w:type="dxa"/>
              <w:start w:w="100" w:type="dxa"/>
              <w:bottom w:w="35" w:type="dxa"/>
              <w:end w:w="100" w:type="dxa"/>
            </w:tcMar>
            <w:vAlign w:val="center"/>
            <w:shd w:fill="FFFFFF" w:val="clear"/>
          </w:tcPr>
          <w:p>
            <w:pPr>
              <w:pStyle w:val="Compact"/>
              <w:widowControl/>
              <w:spacing w:before="0" w:after="8" w:line="240" w:lineRule="auto"/>
              <w:jc w:val="left"/>
            </w:pPr>
            <w:r>
              <w:rPr>
                <w:rFonts w:ascii="Carlito" w:hAnsi="Carlito" w:eastAsia="Carlito"/>
                <w:color w:val="44515C"/>
                <w:sz w:val="16"/>
              </w:rPr>
              <w:t xml:space="preserve">Hexagonal architecture</w:t>
            </w:r>
          </w:p>
        </w:tc>
        <w:tc>
          <w:tcPr>
            <w:tcW w:type="dxa" w:w="6768"/>
            <w:tcMar>
              <w:top w:w="35" w:type="dxa"/>
              <w:start w:w="100" w:type="dxa"/>
              <w:bottom w:w="35" w:type="dxa"/>
              <w:end w:w="100" w:type="dxa"/>
            </w:tcMar>
            <w:vAlign w:val="center"/>
            <w:shd w:fill="FFFFFF" w:val="clear"/>
          </w:tcPr>
          <w:p>
            <w:pPr>
              <w:pStyle w:val="Compact"/>
              <w:widowControl/>
              <w:spacing w:before="0" w:after="8" w:line="240" w:lineRule="auto"/>
              <w:jc w:val="left"/>
            </w:pPr>
            <w:r>
              <w:rPr>
                <w:rFonts w:ascii="Carlito" w:hAnsi="Carlito" w:eastAsia="Carlito"/>
                <w:color w:val="44515C"/>
                <w:sz w:val="16"/>
              </w:rPr>
              <w:t xml:space="preserve">Design in which application/domain logic depends on ports and adapters implement external interactions.</w:t>
            </w:r>
          </w:p>
        </w:tc>
      </w:tr>
      <w:tr>
        <w:trPr>
          <w:cantSplit/>
        </w:trPr>
        <w:tc>
          <w:tcPr>
            <w:tcW w:type="dxa" w:w="2951"/>
            <w:tcMar>
              <w:top w:w="35" w:type="dxa"/>
              <w:start w:w="100" w:type="dxa"/>
              <w:bottom w:w="35" w:type="dxa"/>
              <w:end w:w="100" w:type="dxa"/>
            </w:tcMar>
            <w:vAlign w:val="center"/>
            <w:shd w:fill="FFFFFF" w:val="clear"/>
          </w:tcPr>
          <w:p>
            <w:pPr>
              <w:pStyle w:val="Compact"/>
              <w:widowControl/>
              <w:spacing w:before="0" w:after="8" w:line="240" w:lineRule="auto"/>
              <w:jc w:val="left"/>
            </w:pPr>
            <w:r>
              <w:rPr>
                <w:rFonts w:ascii="Carlito" w:hAnsi="Carlito" w:eastAsia="Carlito"/>
                <w:color w:val="44515C"/>
                <w:sz w:val="16"/>
              </w:rPr>
              <w:t xml:space="preserve">Idempotency</w:t>
            </w:r>
          </w:p>
        </w:tc>
        <w:tc>
          <w:tcPr>
            <w:tcW w:type="dxa" w:w="6768"/>
            <w:tcMar>
              <w:top w:w="35" w:type="dxa"/>
              <w:start w:w="100" w:type="dxa"/>
              <w:bottom w:w="35" w:type="dxa"/>
              <w:end w:w="100" w:type="dxa"/>
            </w:tcMar>
            <w:vAlign w:val="center"/>
            <w:shd w:fill="FFFFFF" w:val="clear"/>
          </w:tcPr>
          <w:p>
            <w:pPr>
              <w:pStyle w:val="Compact"/>
              <w:widowControl/>
              <w:spacing w:before="0" w:after="8" w:line="240" w:lineRule="auto"/>
              <w:jc w:val="left"/>
            </w:pPr>
            <w:r>
              <w:rPr>
                <w:rFonts w:ascii="Carlito" w:hAnsi="Carlito" w:eastAsia="Carlito"/>
                <w:color w:val="44515C"/>
                <w:sz w:val="16"/>
              </w:rPr>
              <w:t xml:space="preserve">Property that repeating an operation has the same effective result as performing it once.</w:t>
            </w:r>
          </w:p>
        </w:tc>
      </w:tr>
      <w:tr>
        <w:trPr>
          <w:cantSplit/>
        </w:trPr>
        <w:tc>
          <w:tcPr>
            <w:tcW w:type="dxa" w:w="2951"/>
            <w:tcMar>
              <w:top w:w="35" w:type="dxa"/>
              <w:start w:w="100" w:type="dxa"/>
              <w:bottom w:w="35" w:type="dxa"/>
              <w:end w:w="100" w:type="dxa"/>
            </w:tcMar>
            <w:vAlign w:val="center"/>
            <w:shd w:fill="FFFFFF" w:val="clear"/>
          </w:tcPr>
          <w:p>
            <w:pPr>
              <w:pStyle w:val="Compact"/>
              <w:widowControl/>
              <w:spacing w:before="0" w:after="8" w:line="240" w:lineRule="auto"/>
              <w:jc w:val="left"/>
            </w:pPr>
            <w:r>
              <w:rPr>
                <w:rFonts w:ascii="Carlito" w:hAnsi="Carlito" w:eastAsia="Carlito"/>
                <w:color w:val="44515C"/>
                <w:sz w:val="16"/>
              </w:rPr>
              <w:t xml:space="preserve">Impl artifact</w:t>
            </w:r>
          </w:p>
        </w:tc>
        <w:tc>
          <w:tcPr>
            <w:tcW w:type="dxa" w:w="6768"/>
            <w:tcMar>
              <w:top w:w="35" w:type="dxa"/>
              <w:start w:w="100" w:type="dxa"/>
              <w:bottom w:w="35" w:type="dxa"/>
              <w:end w:w="100" w:type="dxa"/>
            </w:tcMar>
            <w:vAlign w:val="center"/>
            <w:shd w:fill="FFFFFF" w:val="clear"/>
          </w:tcPr>
          <w:p>
            <w:pPr>
              <w:pStyle w:val="Compact"/>
              <w:widowControl/>
              <w:spacing w:before="0" w:after="8" w:line="240" w:lineRule="auto"/>
              <w:jc w:val="left"/>
            </w:pPr>
            <w:r>
              <w:rPr>
                <w:rFonts w:ascii="Carlito" w:hAnsi="Carlito" w:eastAsia="Carlito"/>
                <w:color w:val="44515C"/>
                <w:sz w:val="16"/>
              </w:rPr>
              <w:t xml:space="preserve">Maven module containing feature implementation and infrastructure adapters.</w:t>
            </w:r>
          </w:p>
        </w:tc>
      </w:tr>
      <w:tr>
        <w:trPr>
          <w:cantSplit/>
        </w:trPr>
        <w:tc>
          <w:tcPr>
            <w:tcW w:type="dxa" w:w="2951"/>
            <w:tcMar>
              <w:top w:w="35" w:type="dxa"/>
              <w:start w:w="100" w:type="dxa"/>
              <w:bottom w:w="35" w:type="dxa"/>
              <w:end w:w="100" w:type="dxa"/>
            </w:tcMar>
            <w:vAlign w:val="center"/>
            <w:shd w:fill="FFFFFF" w:val="clear"/>
          </w:tcPr>
          <w:p>
            <w:pPr>
              <w:pStyle w:val="Compact"/>
              <w:widowControl/>
              <w:spacing w:before="0" w:after="8" w:line="240" w:lineRule="auto"/>
              <w:jc w:val="left"/>
            </w:pPr>
            <w:r>
              <w:rPr>
                <w:rFonts w:ascii="Carlito" w:hAnsi="Carlito" w:eastAsia="Carlito"/>
                <w:color w:val="44515C"/>
                <w:sz w:val="16"/>
              </w:rPr>
              <w:t xml:space="preserve">Liquibase</w:t>
            </w:r>
          </w:p>
        </w:tc>
        <w:tc>
          <w:tcPr>
            <w:tcW w:type="dxa" w:w="6768"/>
            <w:tcMar>
              <w:top w:w="35" w:type="dxa"/>
              <w:start w:w="100" w:type="dxa"/>
              <w:bottom w:w="35" w:type="dxa"/>
              <w:end w:w="100" w:type="dxa"/>
            </w:tcMar>
            <w:vAlign w:val="center"/>
            <w:shd w:fill="FFFFFF" w:val="clear"/>
          </w:tcPr>
          <w:p>
            <w:pPr>
              <w:pStyle w:val="Compact"/>
              <w:widowControl/>
              <w:spacing w:before="0" w:after="8" w:line="240" w:lineRule="auto"/>
              <w:jc w:val="left"/>
            </w:pPr>
            <w:r>
              <w:rPr>
                <w:rFonts w:ascii="Carlito" w:hAnsi="Carlito" w:eastAsia="Carlito"/>
                <w:color w:val="44515C"/>
                <w:sz w:val="16"/>
              </w:rPr>
              <w:t xml:space="preserve">Versioned relational database migration tool.</w:t>
            </w:r>
          </w:p>
        </w:tc>
      </w:tr>
      <w:tr>
        <w:trPr>
          <w:cantSplit/>
        </w:trPr>
        <w:tc>
          <w:tcPr>
            <w:tcW w:type="dxa" w:w="2951"/>
            <w:tcMar>
              <w:top w:w="35" w:type="dxa"/>
              <w:start w:w="100" w:type="dxa"/>
              <w:bottom w:w="35" w:type="dxa"/>
              <w:end w:w="100" w:type="dxa"/>
            </w:tcMar>
            <w:vAlign w:val="center"/>
            <w:shd w:fill="FFFFFF" w:val="clear"/>
          </w:tcPr>
          <w:p>
            <w:pPr>
              <w:pStyle w:val="Compact"/>
              <w:widowControl/>
              <w:spacing w:before="0" w:after="8" w:line="240" w:lineRule="auto"/>
              <w:jc w:val="left"/>
            </w:pPr>
            <w:r>
              <w:rPr>
                <w:rFonts w:ascii="Carlito" w:hAnsi="Carlito" w:eastAsia="Carlito"/>
                <w:color w:val="44515C"/>
                <w:sz w:val="16"/>
              </w:rPr>
              <w:t xml:space="preserve">MDC</w:t>
            </w:r>
          </w:p>
        </w:tc>
        <w:tc>
          <w:tcPr>
            <w:tcW w:type="dxa" w:w="6768"/>
            <w:tcMar>
              <w:top w:w="35" w:type="dxa"/>
              <w:start w:w="100" w:type="dxa"/>
              <w:bottom w:w="35" w:type="dxa"/>
              <w:end w:w="100" w:type="dxa"/>
            </w:tcMar>
            <w:vAlign w:val="center"/>
            <w:shd w:fill="FFFFFF" w:val="clear"/>
          </w:tcPr>
          <w:p>
            <w:pPr>
              <w:pStyle w:val="Compact"/>
              <w:widowControl/>
              <w:spacing w:before="0" w:after="8" w:line="240" w:lineRule="auto"/>
              <w:jc w:val="left"/>
            </w:pPr>
            <w:r>
              <w:rPr>
                <w:rFonts w:ascii="Carlito" w:hAnsi="Carlito" w:eastAsia="Carlito"/>
                <w:color w:val="44515C"/>
                <w:sz w:val="16"/>
              </w:rPr>
              <w:t xml:space="preserve">Mapped Diagnostic Context used to enrich logs with request/operator metadata.</w:t>
            </w:r>
          </w:p>
        </w:tc>
      </w:tr>
      <w:tr>
        <w:trPr>
          <w:cantSplit/>
        </w:trPr>
        <w:tc>
          <w:tcPr>
            <w:tcW w:type="dxa" w:w="2951"/>
            <w:tcMar>
              <w:top w:w="35" w:type="dxa"/>
              <w:start w:w="100" w:type="dxa"/>
              <w:bottom w:w="35" w:type="dxa"/>
              <w:end w:w="100" w:type="dxa"/>
            </w:tcMar>
            <w:vAlign w:val="center"/>
            <w:shd w:fill="FFFFFF" w:val="clear"/>
          </w:tcPr>
          <w:p>
            <w:pPr>
              <w:pStyle w:val="Compact"/>
              <w:widowControl/>
              <w:spacing w:before="0" w:after="8" w:line="240" w:lineRule="auto"/>
              <w:jc w:val="left"/>
            </w:pPr>
            <w:r>
              <w:rPr>
                <w:rFonts w:ascii="Carlito" w:hAnsi="Carlito" w:eastAsia="Carlito"/>
                <w:color w:val="44515C"/>
                <w:sz w:val="16"/>
              </w:rPr>
              <w:t xml:space="preserve">Modular monolith</w:t>
            </w:r>
          </w:p>
        </w:tc>
        <w:tc>
          <w:tcPr>
            <w:tcW w:type="dxa" w:w="6768"/>
            <w:tcMar>
              <w:top w:w="35" w:type="dxa"/>
              <w:start w:w="100" w:type="dxa"/>
              <w:bottom w:w="35" w:type="dxa"/>
              <w:end w:w="100" w:type="dxa"/>
            </w:tcMar>
            <w:vAlign w:val="center"/>
            <w:shd w:fill="FFFFFF" w:val="clear"/>
          </w:tcPr>
          <w:p>
            <w:pPr>
              <w:pStyle w:val="Compact"/>
              <w:widowControl/>
              <w:spacing w:before="0" w:after="8" w:line="240" w:lineRule="auto"/>
              <w:jc w:val="left"/>
            </w:pPr>
            <w:r>
              <w:rPr>
                <w:rFonts w:ascii="Carlito" w:hAnsi="Carlito" w:eastAsia="Carlito"/>
                <w:color w:val="44515C"/>
                <w:sz w:val="16"/>
              </w:rPr>
              <w:t xml:space="preserve">One deployable process whose internal modules maintain explicit boundaries.</w:t>
            </w:r>
          </w:p>
        </w:tc>
      </w:tr>
      <w:tr>
        <w:trPr>
          <w:cantSplit/>
        </w:trPr>
        <w:tc>
          <w:tcPr>
            <w:tcW w:type="dxa" w:w="2951"/>
            <w:tcMar>
              <w:top w:w="35" w:type="dxa"/>
              <w:start w:w="100" w:type="dxa"/>
              <w:bottom w:w="35" w:type="dxa"/>
              <w:end w:w="100" w:type="dxa"/>
            </w:tcMar>
            <w:vAlign w:val="center"/>
            <w:shd w:fill="FFFFFF" w:val="clear"/>
          </w:tcPr>
          <w:p>
            <w:pPr>
              <w:pStyle w:val="Compact"/>
              <w:widowControl/>
              <w:spacing w:before="0" w:after="8" w:line="240" w:lineRule="auto"/>
              <w:jc w:val="left"/>
            </w:pPr>
            <w:r>
              <w:rPr>
                <w:rFonts w:ascii="Carlito" w:hAnsi="Carlito" w:eastAsia="Carlito"/>
                <w:color w:val="44515C"/>
                <w:sz w:val="16"/>
              </w:rPr>
              <w:t xml:space="preserve">Operator</w:t>
            </w:r>
          </w:p>
        </w:tc>
        <w:tc>
          <w:tcPr>
            <w:tcW w:type="dxa" w:w="6768"/>
            <w:tcMar>
              <w:top w:w="35" w:type="dxa"/>
              <w:start w:w="100" w:type="dxa"/>
              <w:bottom w:w="35" w:type="dxa"/>
              <w:end w:w="100" w:type="dxa"/>
            </w:tcMar>
            <w:vAlign w:val="center"/>
            <w:shd w:fill="FFFFFF" w:val="clear"/>
          </w:tcPr>
          <w:p>
            <w:pPr>
              <w:pStyle w:val="Compact"/>
              <w:widowControl/>
              <w:spacing w:before="0" w:after="8" w:line="240" w:lineRule="auto"/>
              <w:jc w:val="left"/>
            </w:pPr>
            <w:r>
              <w:rPr>
                <w:rFonts w:ascii="Carlito" w:hAnsi="Carlito" w:eastAsia="Carlito"/>
                <w:color w:val="44515C"/>
                <w:sz w:val="16"/>
              </w:rPr>
              <w:t xml:space="preserve">Tenant-like organizational scope used for identity, data, configuration, and integrations.</w:t>
            </w:r>
          </w:p>
        </w:tc>
      </w:tr>
      <w:tr>
        <w:trPr>
          <w:cantSplit/>
        </w:trPr>
        <w:tc>
          <w:tcPr>
            <w:tcW w:type="dxa" w:w="2951"/>
            <w:tcMar>
              <w:top w:w="35" w:type="dxa"/>
              <w:start w:w="100" w:type="dxa"/>
              <w:bottom w:w="35" w:type="dxa"/>
              <w:end w:w="100" w:type="dxa"/>
            </w:tcMar>
            <w:vAlign w:val="center"/>
            <w:shd w:fill="FFFFFF" w:val="clear"/>
          </w:tcPr>
          <w:p>
            <w:pPr>
              <w:pStyle w:val="Compact"/>
              <w:widowControl/>
              <w:spacing w:before="0" w:after="8" w:line="240" w:lineRule="auto"/>
              <w:jc w:val="left"/>
            </w:pPr>
            <w:r>
              <w:rPr>
                <w:rFonts w:ascii="Carlito" w:hAnsi="Carlito" w:eastAsia="Carlito"/>
                <w:color w:val="44515C"/>
                <w:sz w:val="16"/>
              </w:rPr>
              <w:t xml:space="preserve">Outbox</w:t>
            </w:r>
          </w:p>
        </w:tc>
        <w:tc>
          <w:tcPr>
            <w:tcW w:type="dxa" w:w="6768"/>
            <w:tcMar>
              <w:top w:w="35" w:type="dxa"/>
              <w:start w:w="100" w:type="dxa"/>
              <w:bottom w:w="35" w:type="dxa"/>
              <w:end w:w="100" w:type="dxa"/>
            </w:tcMar>
            <w:vAlign w:val="center"/>
            <w:shd w:fill="FFFFFF" w:val="clear"/>
          </w:tcPr>
          <w:p>
            <w:pPr>
              <w:pStyle w:val="Compact"/>
              <w:widowControl/>
              <w:spacing w:before="0" w:after="8" w:line="240" w:lineRule="auto"/>
              <w:jc w:val="left"/>
            </w:pPr>
            <w:r>
              <w:rPr>
                <w:rFonts w:ascii="Carlito" w:hAnsi="Carlito" w:eastAsia="Carlito"/>
                <w:color w:val="44515C"/>
                <w:sz w:val="16"/>
              </w:rPr>
              <w:t xml:space="preserve">Database table that records events atomically with domain state for reliable later publication.</w:t>
            </w:r>
          </w:p>
        </w:tc>
      </w:tr>
      <w:tr>
        <w:trPr>
          <w:cantSplit/>
        </w:trPr>
        <w:tc>
          <w:tcPr>
            <w:tcW w:type="dxa" w:w="2951"/>
            <w:tcMar>
              <w:top w:w="35" w:type="dxa"/>
              <w:start w:w="100" w:type="dxa"/>
              <w:bottom w:w="35" w:type="dxa"/>
              <w:end w:w="100" w:type="dxa"/>
            </w:tcMar>
            <w:vAlign w:val="center"/>
            <w:shd w:fill="FFFFFF" w:val="clear"/>
          </w:tcPr>
          <w:p>
            <w:pPr>
              <w:pStyle w:val="Compact"/>
              <w:widowControl/>
              <w:spacing w:before="0" w:after="8" w:line="240" w:lineRule="auto"/>
              <w:jc w:val="left"/>
            </w:pPr>
            <w:r>
              <w:rPr>
                <w:rFonts w:ascii="Carlito" w:hAnsi="Carlito" w:eastAsia="Carlito"/>
                <w:color w:val="44515C"/>
                <w:sz w:val="16"/>
              </w:rPr>
              <w:t xml:space="preserve">Port</w:t>
            </w:r>
          </w:p>
        </w:tc>
        <w:tc>
          <w:tcPr>
            <w:tcW w:type="dxa" w:w="6768"/>
            <w:tcMar>
              <w:top w:w="35" w:type="dxa"/>
              <w:start w:w="100" w:type="dxa"/>
              <w:bottom w:w="35" w:type="dxa"/>
              <w:end w:w="100" w:type="dxa"/>
            </w:tcMar>
            <w:vAlign w:val="center"/>
            <w:shd w:fill="FFFFFF" w:val="clear"/>
          </w:tcPr>
          <w:p>
            <w:pPr>
              <w:pStyle w:val="Compact"/>
              <w:widowControl/>
              <w:spacing w:before="0" w:after="8" w:line="240" w:lineRule="auto"/>
              <w:jc w:val="left"/>
            </w:pPr>
            <w:r>
              <w:rPr>
                <w:rFonts w:ascii="Carlito" w:hAnsi="Carlito" w:eastAsia="Carlito"/>
                <w:color w:val="44515C"/>
                <w:sz w:val="16"/>
              </w:rPr>
              <w:t xml:space="preserve">Interface representing an inbound use case or outbound dependency.</w:t>
            </w:r>
          </w:p>
        </w:tc>
      </w:tr>
      <w:tr>
        <w:trPr>
          <w:cantSplit/>
        </w:trPr>
        <w:tc>
          <w:tcPr>
            <w:tcW w:type="dxa" w:w="2951"/>
            <w:tcMar>
              <w:top w:w="35" w:type="dxa"/>
              <w:start w:w="100" w:type="dxa"/>
              <w:bottom w:w="35" w:type="dxa"/>
              <w:end w:w="100" w:type="dxa"/>
            </w:tcMar>
            <w:vAlign w:val="center"/>
            <w:shd w:fill="FFFFFF" w:val="clear"/>
          </w:tcPr>
          <w:p>
            <w:pPr>
              <w:pStyle w:val="Compact"/>
              <w:widowControl/>
              <w:spacing w:before="0" w:after="8" w:line="240" w:lineRule="auto"/>
              <w:jc w:val="left"/>
            </w:pPr>
            <w:r>
              <w:rPr>
                <w:rFonts w:ascii="Carlito" w:hAnsi="Carlito" w:eastAsia="Carlito"/>
                <w:color w:val="44515C"/>
                <w:sz w:val="16"/>
              </w:rPr>
              <w:t xml:space="preserve">Projection</w:t>
            </w:r>
          </w:p>
        </w:tc>
        <w:tc>
          <w:tcPr>
            <w:tcW w:type="dxa" w:w="6768"/>
            <w:tcMar>
              <w:top w:w="35" w:type="dxa"/>
              <w:start w:w="100" w:type="dxa"/>
              <w:bottom w:w="35" w:type="dxa"/>
              <w:end w:w="100" w:type="dxa"/>
            </w:tcMar>
            <w:vAlign w:val="center"/>
            <w:shd w:fill="FFFFFF" w:val="clear"/>
          </w:tcPr>
          <w:p>
            <w:pPr>
              <w:pStyle w:val="Compact"/>
              <w:widowControl/>
              <w:spacing w:before="0" w:after="8" w:line="240" w:lineRule="auto"/>
              <w:jc w:val="left"/>
            </w:pPr>
            <w:r>
              <w:rPr>
                <w:rFonts w:ascii="Carlito" w:hAnsi="Carlito" w:eastAsia="Carlito"/>
                <w:color w:val="44515C"/>
                <w:sz w:val="16"/>
              </w:rPr>
              <w:t xml:space="preserve">Read-optimized model derived from authoritative events or data.</w:t>
            </w:r>
          </w:p>
        </w:tc>
      </w:tr>
      <w:tr>
        <w:trPr>
          <w:cantSplit/>
        </w:trPr>
        <w:tc>
          <w:tcPr>
            <w:tcW w:type="dxa" w:w="2951"/>
            <w:tcMar>
              <w:top w:w="35" w:type="dxa"/>
              <w:start w:w="100" w:type="dxa"/>
              <w:bottom w:w="35" w:type="dxa"/>
              <w:end w:w="100" w:type="dxa"/>
            </w:tcMar>
            <w:vAlign w:val="center"/>
            <w:shd w:fill="FFFFFF" w:val="clear"/>
          </w:tcPr>
          <w:p>
            <w:pPr>
              <w:pStyle w:val="Compact"/>
              <w:widowControl/>
              <w:spacing w:before="0" w:after="8" w:line="240" w:lineRule="auto"/>
              <w:jc w:val="left"/>
            </w:pPr>
            <w:r>
              <w:rPr>
                <w:rFonts w:ascii="Carlito" w:hAnsi="Carlito" w:eastAsia="Carlito"/>
                <w:color w:val="44515C"/>
                <w:sz w:val="16"/>
              </w:rPr>
              <w:t xml:space="preserve">Refresh token</w:t>
            </w:r>
          </w:p>
        </w:tc>
        <w:tc>
          <w:tcPr>
            <w:tcW w:type="dxa" w:w="6768"/>
            <w:tcMar>
              <w:top w:w="35" w:type="dxa"/>
              <w:start w:w="100" w:type="dxa"/>
              <w:bottom w:w="35" w:type="dxa"/>
              <w:end w:w="100" w:type="dxa"/>
            </w:tcMar>
            <w:vAlign w:val="center"/>
            <w:shd w:fill="FFFFFF" w:val="clear"/>
          </w:tcPr>
          <w:p>
            <w:pPr>
              <w:pStyle w:val="Compact"/>
              <w:widowControl/>
              <w:spacing w:before="0" w:after="8" w:line="240" w:lineRule="auto"/>
              <w:jc w:val="left"/>
            </w:pPr>
            <w:r>
              <w:rPr>
                <w:rFonts w:ascii="Carlito" w:hAnsi="Carlito" w:eastAsia="Carlito"/>
                <w:color w:val="44515C"/>
                <w:sz w:val="16"/>
              </w:rPr>
              <w:t xml:space="preserve">Longer-lived credential used to obtain a new access token and normally rotated/revoked.</w:t>
            </w:r>
          </w:p>
        </w:tc>
      </w:tr>
      <w:tr>
        <w:trPr>
          <w:cantSplit/>
        </w:trPr>
        <w:tc>
          <w:tcPr>
            <w:tcW w:type="dxa" w:w="2951"/>
            <w:tcMar>
              <w:top w:w="35" w:type="dxa"/>
              <w:start w:w="100" w:type="dxa"/>
              <w:bottom w:w="35" w:type="dxa"/>
              <w:end w:w="100" w:type="dxa"/>
            </w:tcMar>
            <w:vAlign w:val="center"/>
            <w:shd w:fill="FFFFFF" w:val="clear"/>
          </w:tcPr>
          <w:p>
            <w:pPr>
              <w:pStyle w:val="Compact"/>
              <w:widowControl/>
              <w:spacing w:before="0" w:after="8" w:line="240" w:lineRule="auto"/>
              <w:jc w:val="left"/>
            </w:pPr>
            <w:r>
              <w:rPr>
                <w:rFonts w:ascii="Carlito" w:hAnsi="Carlito" w:eastAsia="Carlito"/>
                <w:color w:val="44515C"/>
                <w:sz w:val="16"/>
              </w:rPr>
              <w:t xml:space="preserve">Saga</w:t>
            </w:r>
          </w:p>
        </w:tc>
        <w:tc>
          <w:tcPr>
            <w:tcW w:type="dxa" w:w="6768"/>
            <w:tcMar>
              <w:top w:w="35" w:type="dxa"/>
              <w:start w:w="100" w:type="dxa"/>
              <w:bottom w:w="35" w:type="dxa"/>
              <w:end w:w="100" w:type="dxa"/>
            </w:tcMar>
            <w:vAlign w:val="center"/>
            <w:shd w:fill="FFFFFF" w:val="clear"/>
          </w:tcPr>
          <w:p>
            <w:pPr>
              <w:pStyle w:val="Compact"/>
              <w:widowControl/>
              <w:spacing w:before="0" w:after="8" w:line="240" w:lineRule="auto"/>
              <w:jc w:val="left"/>
            </w:pPr>
            <w:r>
              <w:rPr>
                <w:rFonts w:ascii="Carlito" w:hAnsi="Carlito" w:eastAsia="Carlito"/>
                <w:color w:val="44515C"/>
                <w:sz w:val="16"/>
              </w:rPr>
              <w:t xml:space="preserve">Long-running distributed workflow using local transactions and compensating actions.</w:t>
            </w:r>
          </w:p>
        </w:tc>
      </w:tr>
      <w:tr>
        <w:trPr>
          <w:cantSplit/>
        </w:trPr>
        <w:tc>
          <w:tcPr>
            <w:tcW w:type="dxa" w:w="2951"/>
            <w:tcMar>
              <w:top w:w="35" w:type="dxa"/>
              <w:start w:w="100" w:type="dxa"/>
              <w:bottom w:w="35" w:type="dxa"/>
              <w:end w:w="100" w:type="dxa"/>
            </w:tcMar>
            <w:vAlign w:val="center"/>
            <w:shd w:fill="FFFFFF" w:val="clear"/>
          </w:tcPr>
          <w:p>
            <w:pPr>
              <w:pStyle w:val="Compact"/>
              <w:widowControl/>
              <w:spacing w:before="0" w:after="8" w:line="240" w:lineRule="auto"/>
              <w:jc w:val="left"/>
            </w:pPr>
            <w:r>
              <w:rPr>
                <w:rFonts w:ascii="Carlito" w:hAnsi="Carlito" w:eastAsia="Carlito"/>
                <w:color w:val="44515C"/>
                <w:sz w:val="16"/>
              </w:rPr>
              <w:t xml:space="preserve">Service discovery</w:t>
            </w:r>
          </w:p>
        </w:tc>
        <w:tc>
          <w:tcPr>
            <w:tcW w:type="dxa" w:w="6768"/>
            <w:tcMar>
              <w:top w:w="35" w:type="dxa"/>
              <w:start w:w="100" w:type="dxa"/>
              <w:bottom w:w="35" w:type="dxa"/>
              <w:end w:w="100" w:type="dxa"/>
            </w:tcMar>
            <w:vAlign w:val="center"/>
            <w:shd w:fill="FFFFFF" w:val="clear"/>
          </w:tcPr>
          <w:p>
            <w:pPr>
              <w:pStyle w:val="Compact"/>
              <w:widowControl/>
              <w:spacing w:before="0" w:after="8" w:line="240" w:lineRule="auto"/>
              <w:jc w:val="left"/>
            </w:pPr>
            <w:r>
              <w:rPr>
                <w:rFonts w:ascii="Carlito" w:hAnsi="Carlito" w:eastAsia="Carlito"/>
                <w:color w:val="44515C"/>
                <w:sz w:val="16"/>
              </w:rPr>
              <w:t xml:space="preserve">Mechanism for locating running service instances by logical name.</w:t>
            </w:r>
          </w:p>
        </w:tc>
      </w:tr>
      <w:tr>
        <w:trPr>
          <w:cantSplit/>
        </w:trPr>
        <w:tc>
          <w:tcPr>
            <w:tcW w:type="dxa" w:w="2951"/>
            <w:tcMar>
              <w:top w:w="35" w:type="dxa"/>
              <w:start w:w="100" w:type="dxa"/>
              <w:bottom w:w="35" w:type="dxa"/>
              <w:end w:w="100" w:type="dxa"/>
            </w:tcMar>
            <w:vAlign w:val="center"/>
            <w:shd w:fill="FFFFFF" w:val="clear"/>
          </w:tcPr>
          <w:p>
            <w:pPr>
              <w:pStyle w:val="Compact"/>
              <w:widowControl/>
              <w:spacing w:before="0" w:after="8" w:line="240" w:lineRule="auto"/>
              <w:jc w:val="left"/>
            </w:pPr>
            <w:r>
              <w:rPr>
                <w:rFonts w:ascii="Carlito" w:hAnsi="Carlito" w:eastAsia="Carlito"/>
                <w:color w:val="44515C"/>
                <w:sz w:val="16"/>
              </w:rPr>
              <w:t xml:space="preserve">Tenant isolation</w:t>
            </w:r>
          </w:p>
        </w:tc>
        <w:tc>
          <w:tcPr>
            <w:tcW w:type="dxa" w:w="6768"/>
            <w:tcMar>
              <w:top w:w="35" w:type="dxa"/>
              <w:start w:w="100" w:type="dxa"/>
              <w:bottom w:w="35" w:type="dxa"/>
              <w:end w:w="100" w:type="dxa"/>
            </w:tcMar>
            <w:vAlign w:val="center"/>
            <w:shd w:fill="FFFFFF" w:val="clear"/>
          </w:tcPr>
          <w:p>
            <w:pPr>
              <w:pStyle w:val="Compact"/>
              <w:widowControl/>
              <w:spacing w:before="0" w:after="8" w:line="240" w:lineRule="auto"/>
              <w:jc w:val="left"/>
            </w:pPr>
            <w:r>
              <w:rPr>
                <w:rFonts w:ascii="Carlito" w:hAnsi="Carlito" w:eastAsia="Carlito"/>
                <w:color w:val="44515C"/>
                <w:sz w:val="16"/>
              </w:rPr>
              <w:t xml:space="preserve">Prevention of one operator/tenant reading or changing another’s data.</w:t>
            </w:r>
          </w:p>
        </w:tc>
      </w:tr>
    </w:tbl>
    <w:p>
      <w:bookmarkStart w:id="703" w:name="mv2_h_0332"/>
      <w:pPr>
        <w:pStyle w:val="Heading1"/>
        <w:keepNext/>
        <w:widowControl/>
      </w:pPr>
      <w:r>
        <w:t xml:space="preserve">Appendix F. Source Traceability Index</w:t>
      </w:r>
      <w:bookmarkEnd w:id="703"/>
    </w:p>
    <w:p>
      <w:bookmarkStart w:id="704" w:name="mv2_h_0333"/>
      <w:pPr>
        <w:pStyle w:val="Heading2"/>
        <w:keepNext/>
        <w:widowControl/>
      </w:pPr>
      <w:r>
        <w:t xml:space="preserve">F.1 Primary Repository Artifacts Consulted</w:t>
      </w:r>
      <w:bookmarkEnd w:id="704"/>
    </w:p>
    <w:p>
      <w:pPr>
        <w:pStyle w:val="FirstParagraph"/>
        <w:widowControl/>
        <w:jc w:val="left"/>
        <w:spacing w:after="100"/>
      </w:pPr>
      <w:r>
        <w:t xml:space="preserve">The following artifact categories are the main anchors for this documentation:</w:t>
      </w:r>
    </w:p>
    <w:tbl>
      <w:tblPr>
        <w:tblStyle w:val="Table"/>
        <w:tblW w:type="pct" w:w="5000"/>
        <w:jc w:val="center"/>
        <w:tblLayout w:type="fixed"/>
        <w:tblLook w:firstRow="1" w:lastRow="0" w:firstColumn="0" w:lastColumn="0" w:noHBand="0" w:noVBand="0" w:val="0020"/>
        <w:tblBorders>
          <w:top w:val="single" w:sz="4" w:space="0" w:color="D7E0E6"/>
          <w:left w:val="single" w:sz="4" w:space="0" w:color="D7E0E6"/>
          <w:bottom w:val="single" w:sz="4" w:space="0" w:color="D7E0E6"/>
          <w:right w:val="single" w:sz="4" w:space="0" w:color="D7E0E6"/>
          <w:insideH w:val="single" w:sz="4" w:space="0" w:color="D7E0E6"/>
          <w:insideV w:val="single" w:sz="4" w:space="0" w:color="D7E0E6"/>
        </w:tblBorders>
      </w:tblPr>
      <w:tblGrid>
        <w:gridCol w:w="3960"/>
        <w:gridCol w:w="3960"/>
      </w:tblGrid>
      <w:tr>
        <w:trPr>
          <w:tblHeader w:val="true"/>
          <w:cantSplit/>
        </w:trPr>
        <w:tc>
          <w:tcPr>
            <w:tcW w:type="dxa" w:w="2951"/>
            <w:tcMar>
              <w:top w:w="85" w:type="dxa"/>
              <w:start w:w="100" w:type="dxa"/>
              <w:bottom w:w="85" w:type="dxa"/>
              <w:end w:w="100" w:type="dxa"/>
            </w:tcMar>
            <w:vAlign w:val="center"/>
            <w:shd w:fill="17324D" w:val="clear"/>
          </w:tcPr>
          <w:p>
            <w:pPr>
              <w:pStyle w:val="Compact"/>
              <w:widowControl/>
              <w:spacing w:before="0" w:after="30" w:line="240" w:lineRule="auto"/>
              <w:jc w:val="left"/>
            </w:pPr>
            <w:r>
              <w:rPr>
                <w:rFonts w:ascii="Noto Sans" w:hAnsi="Noto Sans" w:eastAsia="Noto Sans"/>
                <w:b/>
                <w:color w:val="FFFFFF"/>
                <w:sz w:val="17"/>
              </w:rPr>
              <w:t xml:space="preserve">Artifact</w:t>
            </w:r>
          </w:p>
        </w:tc>
        <w:tc>
          <w:tcPr>
            <w:tcW w:type="dxa" w:w="6768"/>
            <w:tcMar>
              <w:top w:w="85" w:type="dxa"/>
              <w:start w:w="100" w:type="dxa"/>
              <w:bottom w:w="85" w:type="dxa"/>
              <w:end w:w="100" w:type="dxa"/>
            </w:tcMar>
            <w:vAlign w:val="center"/>
            <w:shd w:fill="17324D" w:val="clear"/>
          </w:tcPr>
          <w:p>
            <w:pPr>
              <w:pStyle w:val="Compact"/>
              <w:widowControl/>
              <w:spacing w:before="0" w:after="30" w:line="240" w:lineRule="auto"/>
              <w:jc w:val="left"/>
            </w:pPr>
            <w:r>
              <w:rPr>
                <w:rFonts w:ascii="Noto Sans" w:hAnsi="Noto Sans" w:eastAsia="Noto Sans"/>
                <w:b/>
                <w:color w:val="FFFFFF"/>
                <w:sz w:val="17"/>
              </w:rPr>
              <w:t xml:space="preserve">Information derived</w:t>
            </w:r>
          </w:p>
        </w:tc>
      </w:tr>
      <w:tr>
        <w:trPr>
          <w:cantSplit/>
        </w:trPr>
        <w:tc>
          <w:tcPr>
            <w:tcW w:type="dxa" w:w="2951"/>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Root</w:t>
            </w:r>
            <w:r>
              <w:rPr>
                <w:rFonts w:ascii="Carlito" w:hAnsi="Carlito" w:eastAsia="Carlito"/>
                <w:color w:val="44515C"/>
                <w:sz w:val="17"/>
              </w:rPr>
              <w:t xml:space="preserve"> </w:t>
            </w:r>
            <w:r>
              <w:rPr>
                <w:rStyle w:val="VerbatimChar"/>
                <w:rFonts w:ascii="Carlito" w:hAnsi="Carlito" w:eastAsia="Carlito"/>
                <w:color w:val="44515C"/>
                <w:sz w:val="17"/>
              </w:rPr>
              <w:t xml:space="preserve">pom.xml</w:t>
            </w:r>
          </w:p>
        </w:tc>
        <w:tc>
          <w:tcPr>
            <w:tcW w:type="dxa" w:w="676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Active module list, Java/project versions, profiles, dependency management, distribution settings.</w:t>
            </w:r>
          </w:p>
        </w:tc>
      </w:tr>
      <w:tr>
        <w:trPr>
          <w:cantSplit/>
        </w:trPr>
        <w:tc>
          <w:tcPr>
            <w:tcW w:type="dxa" w:w="2951"/>
            <w:tcMar>
              <w:top w:w="85" w:type="dxa"/>
              <w:start w:w="100" w:type="dxa"/>
              <w:bottom w:w="85" w:type="dxa"/>
              <w:end w:w="100" w:type="dxa"/>
            </w:tcMar>
            <w:vAlign w:val="center"/>
            <w:shd w:fill="FFFFFF" w:val="clear"/>
          </w:tcPr>
          <w:p>
            <w:pPr>
              <w:pStyle w:val="Compact"/>
              <w:widowControl/>
              <w:spacing w:before="0" w:after="30" w:line="240" w:lineRule="auto"/>
              <w:jc w:val="left"/>
            </w:pPr>
            <w:r>
              <w:rPr>
                <w:rStyle w:val="VerbatimChar"/>
                <w:rFonts w:ascii="Carlito" w:hAnsi="Carlito" w:eastAsia="Carlito"/>
                <w:color w:val="44515C"/>
                <w:sz w:val="17"/>
              </w:rPr>
              <w:t xml:space="preserve">README.md</w:t>
            </w:r>
          </w:p>
        </w:tc>
        <w:tc>
          <w:tcPr>
            <w:tcW w:type="dxa" w:w="676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Product scope, module responsibilities, technology overview, local build information.</w:t>
            </w:r>
          </w:p>
        </w:tc>
      </w:tr>
      <w:tr>
        <w:trPr>
          <w:cantSplit/>
        </w:trPr>
        <w:tc>
          <w:tcPr>
            <w:tcW w:type="dxa" w:w="2951"/>
            <w:tcMar>
              <w:top w:w="85" w:type="dxa"/>
              <w:start w:w="100" w:type="dxa"/>
              <w:bottom w:w="85" w:type="dxa"/>
              <w:end w:w="100" w:type="dxa"/>
            </w:tcMar>
            <w:vAlign w:val="center"/>
            <w:shd w:fill="FFFFFF" w:val="clear"/>
          </w:tcPr>
          <w:p>
            <w:pPr>
              <w:pStyle w:val="Compact"/>
              <w:widowControl/>
              <w:spacing w:before="0" w:after="30" w:line="240" w:lineRule="auto"/>
              <w:jc w:val="left"/>
            </w:pPr>
            <w:r>
              <w:rPr>
                <w:rStyle w:val="VerbatimChar"/>
                <w:rFonts w:ascii="Carlito" w:hAnsi="Carlito" w:eastAsia="Carlito"/>
                <w:color w:val="44515C"/>
                <w:sz w:val="17"/>
              </w:rPr>
              <w:t xml:space="preserve">AGENTS.md</w:t>
            </w:r>
          </w:p>
        </w:tc>
        <w:tc>
          <w:tcPr>
            <w:tcW w:type="dxa" w:w="676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Architecture, coding, testing, security, event, and migration conventions.</w:t>
            </w:r>
          </w:p>
        </w:tc>
      </w:tr>
      <w:tr>
        <w:trPr>
          <w:cantSplit/>
        </w:trPr>
        <w:tc>
          <w:tcPr>
            <w:tcW w:type="dxa" w:w="2951"/>
            <w:tcMar>
              <w:top w:w="85" w:type="dxa"/>
              <w:start w:w="100" w:type="dxa"/>
              <w:bottom w:w="85" w:type="dxa"/>
              <w:end w:w="100" w:type="dxa"/>
            </w:tcMar>
            <w:vAlign w:val="center"/>
            <w:shd w:fill="FFFFFF" w:val="clear"/>
          </w:tcPr>
          <w:p>
            <w:pPr>
              <w:pStyle w:val="Compact"/>
              <w:widowControl/>
              <w:spacing w:before="0" w:after="30" w:line="240" w:lineRule="auto"/>
              <w:jc w:val="left"/>
            </w:pPr>
            <w:r>
              <w:rPr>
                <w:rStyle w:val="VerbatimChar"/>
                <w:rFonts w:ascii="Carlito" w:hAnsi="Carlito" w:eastAsia="Carlito"/>
                <w:color w:val="44515C"/>
                <w:sz w:val="17"/>
              </w:rPr>
              <w:t xml:space="preserve">Application/pom.xml</w:t>
            </w:r>
          </w:p>
        </w:tc>
        <w:tc>
          <w:tcPr>
            <w:tcW w:type="dxa" w:w="676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Runtime assembly dependencies and framework capabilities.</w:t>
            </w:r>
          </w:p>
        </w:tc>
      </w:tr>
      <w:tr>
        <w:trPr>
          <w:cantSplit/>
        </w:trPr>
        <w:tc>
          <w:tcPr>
            <w:tcW w:type="dxa" w:w="2951"/>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Application bootstrap class</w:t>
            </w:r>
          </w:p>
        </w:tc>
        <w:tc>
          <w:tcPr>
            <w:tcW w:type="dxa" w:w="676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Component scanning, caching, scheduling, discovery, Feign, and configuration properties.</w:t>
            </w:r>
          </w:p>
        </w:tc>
      </w:tr>
      <w:tr>
        <w:trPr>
          <w:cantSplit/>
        </w:trPr>
        <w:tc>
          <w:tcPr>
            <w:tcW w:type="dxa" w:w="2951"/>
            <w:tcMar>
              <w:top w:w="85" w:type="dxa"/>
              <w:start w:w="100" w:type="dxa"/>
              <w:bottom w:w="85" w:type="dxa"/>
              <w:end w:w="100" w:type="dxa"/>
            </w:tcMar>
            <w:vAlign w:val="center"/>
            <w:shd w:fill="FFFFFF" w:val="clear"/>
          </w:tcPr>
          <w:p>
            <w:pPr>
              <w:pStyle w:val="Compact"/>
              <w:widowControl/>
              <w:spacing w:before="0" w:after="30" w:line="240" w:lineRule="auto"/>
              <w:jc w:val="left"/>
            </w:pPr>
            <w:r>
              <w:rPr>
                <w:rStyle w:val="VerbatimChar"/>
                <w:rFonts w:ascii="Carlito" w:hAnsi="Carlito" w:eastAsia="Carlito"/>
                <w:color w:val="44515C"/>
                <w:sz w:val="17"/>
              </w:rPr>
              <w:t xml:space="preserve">application*.yml</w:t>
            </w:r>
            <w:r>
              <w:rPr>
                <w:rFonts w:ascii="Carlito" w:hAnsi="Carlito" w:eastAsia="Carlito"/>
                <w:color w:val="44515C"/>
                <w:sz w:val="17"/>
              </w:rPr>
              <w:t xml:space="preserve">/properties</w:t>
            </w:r>
          </w:p>
        </w:tc>
        <w:tc>
          <w:tcPr>
            <w:tcW w:type="dxa" w:w="676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Ports, context path, database, Kafka, Eureka, CORS, cookies, internal paths, integrations.</w:t>
            </w:r>
          </w:p>
        </w:tc>
      </w:tr>
      <w:tr>
        <w:trPr>
          <w:cantSplit/>
        </w:trPr>
        <w:tc>
          <w:tcPr>
            <w:tcW w:type="dxa" w:w="2951"/>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Security configuration and filters</w:t>
            </w:r>
          </w:p>
        </w:tc>
        <w:tc>
          <w:tcPr>
            <w:tcW w:type="dxa" w:w="676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Route policy, JWT, CSRF, CORS, device, internal synchronization, and method authorization.</w:t>
            </w:r>
          </w:p>
        </w:tc>
      </w:tr>
      <w:tr>
        <w:trPr>
          <w:cantSplit/>
        </w:trPr>
        <w:tc>
          <w:tcPr>
            <w:tcW w:type="dxa" w:w="2951"/>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Authorization controllers</w:t>
            </w:r>
          </w:p>
        </w:tc>
        <w:tc>
          <w:tcPr>
            <w:tcW w:type="dxa" w:w="676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Representative login, refresh, logout, current-user, operator-user, and administration endpoints.</w:t>
            </w:r>
          </w:p>
        </w:tc>
      </w:tr>
      <w:tr>
        <w:trPr>
          <w:cantSplit/>
        </w:trPr>
        <w:tc>
          <w:tcPr>
            <w:tcW w:type="dxa" w:w="2951"/>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Release changelog</w:t>
            </w:r>
          </w:p>
        </w:tc>
        <w:tc>
          <w:tcPr>
            <w:tcW w:type="dxa" w:w="676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Operator model, read models, events, integrations, module renames, and infrastructure updates.</w:t>
            </w:r>
          </w:p>
        </w:tc>
      </w:tr>
      <w:tr>
        <w:trPr>
          <w:cantSplit/>
        </w:trPr>
        <w:tc>
          <w:tcPr>
            <w:tcW w:type="dxa" w:w="2951"/>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Gateway configuration/code</w:t>
            </w:r>
          </w:p>
        </w:tc>
        <w:tc>
          <w:tcPr>
            <w:tcW w:type="dxa" w:w="676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Default routing and service targets.</w:t>
            </w:r>
          </w:p>
        </w:tc>
      </w:tr>
      <w:tr>
        <w:trPr>
          <w:cantSplit/>
        </w:trPr>
        <w:tc>
          <w:tcPr>
            <w:tcW w:type="dxa" w:w="2951"/>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Eureka configuration</w:t>
            </w:r>
          </w:p>
        </w:tc>
        <w:tc>
          <w:tcPr>
            <w:tcW w:type="dxa" w:w="676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Registry port and server behavior.</w:t>
            </w:r>
          </w:p>
        </w:tc>
      </w:tr>
      <w:tr>
        <w:trPr>
          <w:cantSplit/>
        </w:trPr>
        <w:tc>
          <w:tcPr>
            <w:tcW w:type="dxa" w:w="2951"/>
            <w:tcMar>
              <w:top w:w="85" w:type="dxa"/>
              <w:start w:w="100" w:type="dxa"/>
              <w:bottom w:w="85" w:type="dxa"/>
              <w:end w:w="100" w:type="dxa"/>
            </w:tcMar>
            <w:vAlign w:val="center"/>
            <w:shd w:fill="FFFFFF" w:val="clear"/>
          </w:tcPr>
          <w:p>
            <w:pPr>
              <w:pStyle w:val="Compact"/>
              <w:widowControl/>
              <w:spacing w:before="0" w:after="30" w:line="240" w:lineRule="auto"/>
              <w:jc w:val="left"/>
            </w:pPr>
            <w:r>
              <w:rPr>
                <w:rStyle w:val="VerbatimChar"/>
                <w:rFonts w:ascii="Carlito" w:hAnsi="Carlito" w:eastAsia="Carlito"/>
                <w:color w:val="44515C"/>
                <w:sz w:val="17"/>
              </w:rPr>
              <w:t xml:space="preserve">Dockerfile</w:t>
            </w:r>
          </w:p>
        </w:tc>
        <w:tc>
          <w:tcPr>
            <w:tcW w:type="dxa" w:w="676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Multi-stage Java/Maven image build.</w:t>
            </w:r>
          </w:p>
        </w:tc>
      </w:tr>
      <w:tr>
        <w:trPr>
          <w:cantSplit/>
        </w:trPr>
        <w:tc>
          <w:tcPr>
            <w:tcW w:type="dxa" w:w="2951"/>
            <w:tcMar>
              <w:top w:w="85" w:type="dxa"/>
              <w:start w:w="100" w:type="dxa"/>
              <w:bottom w:w="85" w:type="dxa"/>
              <w:end w:w="100" w:type="dxa"/>
            </w:tcMar>
            <w:vAlign w:val="center"/>
            <w:shd w:fill="FFFFFF" w:val="clear"/>
          </w:tcPr>
          <w:p>
            <w:pPr>
              <w:pStyle w:val="Compact"/>
              <w:widowControl/>
              <w:spacing w:before="0" w:after="30" w:line="240" w:lineRule="auto"/>
              <w:jc w:val="left"/>
            </w:pPr>
            <w:r>
              <w:rPr>
                <w:rStyle w:val="VerbatimChar"/>
                <w:rFonts w:ascii="Carlito" w:hAnsi="Carlito" w:eastAsia="Carlito"/>
                <w:color w:val="44515C"/>
                <w:sz w:val="17"/>
              </w:rPr>
              <w:t xml:space="preserve">docker-compose.yml</w:t>
            </w:r>
          </w:p>
        </w:tc>
        <w:tc>
          <w:tcPr>
            <w:tcW w:type="dxa" w:w="676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Local infrastructure, service ports, databases, and image versions.</w:t>
            </w:r>
          </w:p>
        </w:tc>
      </w:tr>
      <w:tr>
        <w:trPr>
          <w:cantSplit/>
        </w:trPr>
        <w:tc>
          <w:tcPr>
            <w:tcW w:type="dxa" w:w="2951"/>
            <w:tcMar>
              <w:top w:w="85" w:type="dxa"/>
              <w:start w:w="100" w:type="dxa"/>
              <w:bottom w:w="85" w:type="dxa"/>
              <w:end w:w="100" w:type="dxa"/>
            </w:tcMar>
            <w:vAlign w:val="center"/>
            <w:shd w:fill="FFFFFF" w:val="clear"/>
          </w:tcPr>
          <w:p>
            <w:pPr>
              <w:pStyle w:val="Compact"/>
              <w:widowControl/>
              <w:spacing w:before="0" w:after="30" w:line="240" w:lineRule="auto"/>
              <w:jc w:val="left"/>
            </w:pPr>
            <w:r>
              <w:rPr>
                <w:rStyle w:val="VerbatimChar"/>
                <w:rFonts w:ascii="Carlito" w:hAnsi="Carlito" w:eastAsia="Carlito"/>
                <w:color w:val="44515C"/>
                <w:sz w:val="17"/>
              </w:rPr>
              <w:t xml:space="preserve">Jenkinsfile</w:t>
            </w:r>
          </w:p>
        </w:tc>
        <w:tc>
          <w:tcPr>
            <w:tcW w:type="dxa" w:w="676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Jenkins build/deploy flow.</w:t>
            </w:r>
          </w:p>
        </w:tc>
      </w:tr>
      <w:tr>
        <w:trPr>
          <w:cantSplit/>
        </w:trPr>
        <w:tc>
          <w:tcPr>
            <w:tcW w:type="dxa" w:w="2951"/>
            <w:tcMar>
              <w:top w:w="85" w:type="dxa"/>
              <w:start w:w="100" w:type="dxa"/>
              <w:bottom w:w="85" w:type="dxa"/>
              <w:end w:w="100" w:type="dxa"/>
            </w:tcMar>
            <w:vAlign w:val="center"/>
            <w:shd w:fill="FFFFFF" w:val="clear"/>
          </w:tcPr>
          <w:p>
            <w:pPr>
              <w:pStyle w:val="Compact"/>
              <w:widowControl/>
              <w:spacing w:before="0" w:after="30" w:line="240" w:lineRule="auto"/>
              <w:jc w:val="left"/>
            </w:pPr>
            <w:r>
              <w:rPr>
                <w:rStyle w:val="VerbatimChar"/>
                <w:rFonts w:ascii="Carlito" w:hAnsi="Carlito" w:eastAsia="Carlito"/>
                <w:color w:val="44515C"/>
                <w:sz w:val="17"/>
              </w:rPr>
              <w:t xml:space="preserve">.gitlab-ci.yml</w:t>
            </w:r>
          </w:p>
        </w:tc>
        <w:tc>
          <w:tcPr>
            <w:tcW w:type="dxa" w:w="676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GitLab build, test, package, deploy, and analysis jobs.</w:t>
            </w:r>
          </w:p>
        </w:tc>
      </w:tr>
      <w:tr>
        <w:trPr>
          <w:cantSplit/>
        </w:trPr>
        <w:tc>
          <w:tcPr>
            <w:tcW w:type="dxa" w:w="2951"/>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Release changelog</w:t>
            </w:r>
          </w:p>
        </w:tc>
        <w:tc>
          <w:tcPr>
            <w:tcW w:type="dxa" w:w="676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Operator model, read models, events, integrations, module renames, and infrastructure updates.</w:t>
            </w:r>
          </w:p>
        </w:tc>
      </w:tr>
      <w:tr>
        <w:trPr>
          <w:cantSplit/>
        </w:trPr>
        <w:tc>
          <w:tcPr>
            <w:tcW w:type="dxa" w:w="2951"/>
            <w:tcMar>
              <w:top w:w="85" w:type="dxa"/>
              <w:start w:w="100" w:type="dxa"/>
              <w:bottom w:w="85" w:type="dxa"/>
              <w:end w:w="100" w:type="dxa"/>
            </w:tcMar>
            <w:vAlign w:val="center"/>
            <w:shd w:fill="FFFFFF" w:val="clear"/>
          </w:tcPr>
          <w:p>
            <w:pPr>
              <w:pStyle w:val="Compact"/>
              <w:widowControl/>
              <w:spacing w:before="0" w:after="30" w:line="240" w:lineRule="auto"/>
              <w:jc w:val="left"/>
            </w:pPr>
            <w:r>
              <w:rPr>
                <w:rStyle w:val="VerbatimChar"/>
                <w:rFonts w:ascii="Carlito" w:hAnsi="Carlito" w:eastAsia="Carlito"/>
                <w:color w:val="44515C"/>
                <w:sz w:val="17"/>
              </w:rPr>
              <w:t xml:space="preserve">LICENSE</w:t>
            </w:r>
          </w:p>
        </w:tc>
        <w:tc>
          <w:tcPr>
            <w:tcW w:type="dxa" w:w="6768"/>
            <w:tcMar>
              <w:top w:w="85" w:type="dxa"/>
              <w:start w:w="100" w:type="dxa"/>
              <w:bottom w:w="85" w:type="dxa"/>
              <w:end w:w="100" w:type="dxa"/>
            </w:tcMar>
            <w:vAlign w:val="center"/>
            <w:shd w:fill="FFFFFF" w:val="clear"/>
          </w:tcPr>
          <w:p>
            <w:pPr>
              <w:pStyle w:val="Compact"/>
              <w:widowControl/>
              <w:spacing w:before="0" w:after="30" w:line="240" w:lineRule="auto"/>
              <w:jc w:val="left"/>
            </w:pPr>
            <w:r>
              <w:rPr>
                <w:rFonts w:ascii="Carlito" w:hAnsi="Carlito" w:eastAsia="Carlito"/>
                <w:color w:val="44515C"/>
                <w:sz w:val="17"/>
              </w:rPr>
              <w:t xml:space="preserve">Legal-status finding.</w:t>
            </w:r>
          </w:p>
        </w:tc>
      </w:tr>
    </w:tbl>
    <w:p>
      <w:bookmarkStart w:id="705" w:name="mv2_h_0334"/>
      <w:pPr>
        <w:pStyle w:val="Heading2"/>
        <w:keepNext/>
        <w:widowControl/>
      </w:pPr>
      <w:r>
        <w:t xml:space="preserve">F.2 Interpretation Rule</w:t>
      </w:r>
      <w:bookmarkEnd w:id="705"/>
    </w:p>
    <w:p>
      <w:pPr>
        <w:pStyle w:val="FirstParagraph"/>
        <w:widowControl/>
        <w:jc w:val="left"/>
      </w:pPr>
      <w:r>
        <w:t>The source hierarchy represented in this document prioritizes executable configuration and source code over descriptive prose, while environment-specific deployment values supersede local defaults. Release notes describe intent and change scope; tests and observed runtime behavior provide implementation evidence.</w:t>
      </w:r>
    </w:p>
    <w:sectPr>
      <w:headerReference w:type="default" r:id="rId9"/>
      <w:footerReference w:type="default" r:id="rId10"/>
      <w:pgSz w:w="12240" w:h="15840"/>
      <w:pgMar w:top="1037" w:bottom="979" w:left="1181" w:right="1181" w:header="403" w:footer="403"/>
      <w:titlePg/>
      <w:pgNumType/>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88"/>
      <w:gridCol w:w="3288"/>
      <w:gridCol w:w="3288"/>
    </w:tblGrid>
    <w:tr>
      <w:tc>
        <w:tcPr>
          <w:tcW w:type="dxa" w:w="3528"/>
          <w:tcMar>
            <w:top w:w="0" w:type="dxa"/>
            <w:start w:w="0" w:type="dxa"/>
            <w:bottom w:w="0" w:type="dxa"/>
            <w:end w:w="0" w:type="dxa"/>
          </w:tcMar>
        </w:tcPr>
        <w:p>
          <w:pPr>
            <w:jc w:val="left"/>
          </w:pPr>
        </w:p>
      </w:tc>
      <w:tc>
        <w:tcPr>
          <w:tcW w:type="dxa" w:w="2808"/>
          <w:tcMar>
            <w:top w:w="0" w:type="dxa"/>
            <w:start w:w="0" w:type="dxa"/>
            <w:bottom w:w="0" w:type="dxa"/>
            <w:end w:w="0" w:type="dxa"/>
          </w:tcMar>
        </w:tcPr>
        <w:p>
          <w:pPr>
            <w:jc w:val="center"/>
          </w:pPr>
          <w:r>
            <w:rPr>
              <w:rFonts w:ascii="Carlito" w:hAnsi="Carlito" w:eastAsia="Carlito"/>
              <w:color w:val="44515C"/>
              <w:sz w:val="15"/>
            </w:rPr>
            <w:t xml:space="preserve">Page </w:t>
          </w:r>
          <w:r>
            <w:rPr>
              <w:rFonts w:ascii="Carlito" w:hAnsi="Carlito" w:eastAsia="Carlito"/>
              <w:color w:val="44515C"/>
              <w:sz w:val="15"/>
            </w:rPr>
            <w:fldChar w:fldCharType="begin"/>
            <w:instrText xml:space="preserve"> PAGE </w:instrText>
            <w:fldChar w:fldCharType="separate"/>
            <w:t>1</w:t>
            <w:fldChar w:fldCharType="end"/>
          </w:r>
          <w:r>
            <w:rPr>
              <w:rFonts w:ascii="Carlito" w:hAnsi="Carlito" w:eastAsia="Carlito"/>
              <w:color w:val="44515C"/>
              <w:sz w:val="15"/>
            </w:rPr>
            <w:t xml:space="preserve"> of </w:t>
          </w:r>
          <w:r>
            <w:rPr>
              <w:rFonts w:ascii="Carlito" w:hAnsi="Carlito" w:eastAsia="Carlito"/>
              <w:color w:val="44515C"/>
              <w:sz w:val="15"/>
            </w:rPr>
            <w:fldChar w:fldCharType="begin"/>
            <w:instrText xml:space="preserve"> NUMPAGES </w:instrText>
            <w:fldChar w:fldCharType="separate"/>
            <w:t>1</w:t>
            <w:fldChar w:fldCharType="end"/>
          </w:r>
        </w:p>
      </w:tc>
      <w:tc>
        <w:tcPr>
          <w:tcW w:type="dxa" w:w="3528"/>
          <w:tcMar>
            <w:top w:w="0" w:type="dxa"/>
            <w:start w:w="0" w:type="dxa"/>
            <w:bottom w:w="0" w:type="dxa"/>
            <w:end w:w="0" w:type="dxa"/>
          </w:tcMar>
        </w:tcPr>
        <w:p>
          <w:pPr>
            <w:jc w:val="right"/>
          </w:pPr>
        </w:p>
      </w:tc>
    </w:tr>
  </w:tbl>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32"/>
      <w:gridCol w:w="4932"/>
    </w:tblGrid>
    <w:tr>
      <w:tc>
        <w:tcPr>
          <w:tcW w:type="dxa" w:w="4896"/>
          <w:tcMar>
            <w:top w:w="0" w:type="dxa"/>
            <w:start w:w="0" w:type="dxa"/>
            <w:bottom w:w="0" w:type="dxa"/>
            <w:end w:w="0" w:type="dxa"/>
          </w:tcMar>
        </w:tcPr>
        <w:p>
          <w:pPr>
            <w:jc w:val="left"/>
          </w:pPr>
          <w:r>
            <w:rPr>
              <w:rFonts w:ascii="Noto Sans" w:hAnsi="Noto Sans" w:eastAsia="Noto Sans"/>
              <w:b/>
              <w:color w:val="0F7C80"/>
              <w:sz w:val="15"/>
            </w:rPr>
            <w:t>MANAGERV2</w:t>
          </w:r>
        </w:p>
      </w:tc>
      <w:tc>
        <w:tcPr>
          <w:tcW w:type="dxa" w:w="4968"/>
          <w:tcMar>
            <w:top w:w="0" w:type="dxa"/>
            <w:start w:w="0" w:type="dxa"/>
            <w:bottom w:w="0" w:type="dxa"/>
            <w:end w:w="0" w:type="dxa"/>
          </w:tcMar>
        </w:tcPr>
        <w:p>
          <w:pPr>
            <w:jc w:val="right"/>
          </w:pPr>
          <w:r>
            <w:rPr>
              <w:rFonts w:ascii="Noto Sans" w:hAnsi="Noto Sans" w:eastAsia="Noto Sans"/>
              <w:b/>
              <w:color w:val="44515C"/>
              <w:sz w:val="14"/>
            </w:rPr>
            <w:t>TECHNICAL DOCUMENTATION</w:t>
          </w:r>
        </w:p>
      </w:tc>
    </w:tr>
  </w:tbl>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59" w:lineRule="auto"/>
    </w:pPr>
    <w:rPr>
      <w:rFonts w:ascii="Carlito" w:hAnsi="Carlito" w:eastAsia="Carlito"/>
      <w:color w:val="44515C"/>
      <w:sz w:val="22"/>
    </w:rPr>
  </w:style>
  <w:style w:styleId="BodyText" w:type="paragraph">
    <w:name w:val="Body Text"/>
    <w:basedOn w:val="Normal"/>
    <w:link w:val="BodyTextChar"/>
    <w:qFormat/>
    <w:pPr>
      <w:widowControl/>
      <w:spacing w:after="120" w:before="180" w:line="259" w:lineRule="auto"/>
    </w:pPr>
    <w:rPr>
      <w:rFonts w:ascii="Carlito" w:hAnsi="Carlito" w:eastAsia="Carlito"/>
      <w:color w:val="44515C"/>
      <w:sz w:val="22"/>
    </w:rPr>
  </w:style>
  <w:style w:customStyle="1" w:styleId="FirstParagraph" w:type="paragraph">
    <w:name w:val="First Paragraph"/>
    <w:basedOn w:val="BodyText"/>
    <w:next w:val="BodyText"/>
    <w:qFormat/>
    <w:pPr>
      <w:widowControl/>
      <w:spacing w:after="120" w:line="259" w:lineRule="auto"/>
    </w:pPr>
    <w:rPr>
      <w:rFonts w:ascii="Carlito" w:hAnsi="Carlito" w:eastAsia="Carlito"/>
      <w:color w:val="44515C"/>
      <w:sz w:val="22"/>
    </w:rPr>
  </w:style>
  <w:style w:customStyle="1" w:styleId="Compact" w:type="paragraph">
    <w:name w:val="Compact"/>
    <w:basedOn w:val="BodyText"/>
    <w:qFormat/>
    <w:pPr>
      <w:widowControl/>
      <w:spacing w:after="50" w:before="36" w:line="247" w:lineRule="auto"/>
    </w:pPr>
    <w:rPr>
      <w:rFonts w:ascii="Carlito" w:hAnsi="Carlito" w:eastAsia="Carlito"/>
      <w:color w:val="44515C"/>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widowControl/>
      <w:spacing w:after="200" w:before="0"/>
      <w:outlineLvl w:val="0"/>
    </w:pPr>
    <w:rPr>
      <w:rFonts w:asciiTheme="majorHAnsi" w:cstheme="majorBidi" w:eastAsiaTheme="majorEastAsia" w:hAnsiTheme="majorHAnsi" w:ascii="Noto Sans" w:hAnsi="Noto Sans" w:eastAsia="Noto Sans"/>
      <w:b/>
      <w:bCs/>
      <w:color w:val="17324D"/>
      <w:sz w:val="38"/>
      <w:szCs w:val="32"/>
    </w:rPr>
  </w:style>
  <w:style w:styleId="Heading2" w:type="paragraph">
    <w:name w:val="Heading 2"/>
    <w:basedOn w:val="Normal"/>
    <w:next w:val="BodyText"/>
    <w:uiPriority w:val="9"/>
    <w:unhideWhenUsed/>
    <w:qFormat/>
    <w:pPr>
      <w:keepNext/>
      <w:keepLines/>
      <w:widowControl/>
      <w:spacing w:after="120" w:before="280"/>
      <w:outlineLvl w:val="1"/>
    </w:pPr>
    <w:rPr>
      <w:rFonts w:asciiTheme="majorHAnsi" w:cstheme="majorBidi" w:eastAsiaTheme="majorEastAsia" w:hAnsiTheme="majorHAnsi" w:ascii="Noto Sans" w:hAnsi="Noto Sans" w:eastAsia="Noto Sans"/>
      <w:b/>
      <w:bCs/>
      <w:color w:val="0F7C80"/>
      <w:sz w:val="26"/>
      <w:szCs w:val="28"/>
    </w:rPr>
  </w:style>
  <w:style w:styleId="Heading3" w:type="paragraph">
    <w:name w:val="Heading 3"/>
    <w:basedOn w:val="Normal"/>
    <w:next w:val="BodyText"/>
    <w:uiPriority w:val="9"/>
    <w:unhideWhenUsed/>
    <w:qFormat/>
    <w:pPr>
      <w:keepNext/>
      <w:keepLines/>
      <w:widowControl/>
      <w:spacing w:after="80" w:before="200"/>
      <w:outlineLvl w:val="2"/>
    </w:pPr>
    <w:rPr>
      <w:rFonts w:asciiTheme="majorHAnsi" w:cstheme="majorBidi" w:eastAsiaTheme="majorEastAsia" w:hAnsiTheme="majorHAnsi" w:ascii="Noto Sans" w:hAnsi="Noto Sans" w:eastAsia="Noto Sans"/>
      <w:b/>
      <w:bCs/>
      <w:color w:val="17324D"/>
      <w:sz w:val="21"/>
      <w:szCs w:val="24"/>
    </w:rPr>
  </w:style>
  <w:style w:styleId="Heading4" w:type="paragraph">
    <w:name w:val="Heading 4"/>
    <w:basedOn w:val="Normal"/>
    <w:next w:val="BodyText"/>
    <w:uiPriority w:val="9"/>
    <w:unhideWhenUsed/>
    <w:qFormat/>
    <w:pPr>
      <w:keepNext/>
      <w:keepLines/>
      <w:spacing w:after="60" w:before="160"/>
      <w:outlineLvl w:val="3"/>
    </w:pPr>
    <w:rPr>
      <w:rFonts w:asciiTheme="majorHAnsi" w:cstheme="majorBidi" w:eastAsiaTheme="majorEastAsia" w:hAnsiTheme="majorHAnsi" w:ascii="Noto Sans" w:hAnsi="Noto Sans" w:eastAsia="Noto Sans"/>
      <w:b/>
      <w:bCs/>
      <w:i/>
      <w:color w:val="0F7C80"/>
      <w:sz w:val="20"/>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60" w:before="140" w:line="254" w:lineRule="auto"/>
      <w:ind w:firstLine="0" w:left="288" w:right="144"/>
    </w:pPr>
    <w:rPr>
      <w:rFonts w:ascii="Carlito" w:hAnsi="Carlito" w:eastAsia="Carlito"/>
      <w:i w:val="0"/>
      <w:color w:val="10263B"/>
      <w:sz w:val="20"/>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pPr>
      <w:keepNext w:val="0"/>
      <w:spacing w:before="40" w:after="160"/>
      <w:jc w:val="center"/>
    </w:pPr>
    <w:rPr>
      <w:rFonts w:ascii="Carlito" w:hAnsi="Carlito" w:eastAsia="Carlito"/>
      <w:i/>
      <w:color w:val="44515C"/>
      <w:sz w:val="17"/>
    </w:rPr>
  </w:style>
  <w:style w:customStyle="1" w:styleId="Figure" w:type="paragraph">
    <w:name w:val="Figure"/>
    <w:basedOn w:val="Normal"/>
  </w:style>
  <w:style w:customStyle="1" w:styleId="CaptionedFigure" w:type="paragraph">
    <w:name w:val="Captioned Figure"/>
    <w:basedOn w:val="Figure"/>
    <w:pPr>
      <w:keepNext/>
      <w:spacing w:before="160" w:after="0"/>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Normal"/>
    <w:next w:val="BodyText"/>
    <w:uiPriority w:val="39"/>
    <w:unhideWhenUsed/>
    <w:qFormat/>
    <w:pPr>
      <w:keepNext/>
      <w:pageBreakBefore w:val="0"/>
      <w:spacing w:before="0" w:line="259" w:lineRule="auto" w:after="80"/>
      <w:outlineLvl w:val="9"/>
    </w:pPr>
    <w:rPr>
      <w:rFonts w:asciiTheme="majorHAnsi" w:cstheme="majorBidi" w:eastAsiaTheme="majorEastAsia" w:hAnsiTheme="majorHAnsi" w:ascii="Noto Sans" w:hAnsi="Noto Sans" w:eastAsia="Noto Sans"/>
      <w:b/>
      <w:bCs w:val="0"/>
      <w:color w:val="17324D"/>
      <w:sz w:val="42"/>
    </w:rPr>
  </w:style>
  <w:style w:type="paragraph" w:customStyle="1" w:styleId="SourceCode">
    <w:name w:val="Source Code"/>
    <w:basedOn w:val="Normal"/>
    <w:link w:val="VerbatimChar"/>
    <w:pPr>
      <w:keepLines w:val="0"/>
      <w:wordWrap w:val="off"/>
      <w:spacing w:before="100" w:after="140" w:line="240" w:lineRule="auto"/>
      <w:ind w:left="230" w:right="230"/>
    </w:pPr>
    <w:rPr>
      <w:rFonts w:ascii="DejaVu Sans Mono" w:hAnsi="DejaVu Sans Mono" w:eastAsia="DejaVu Sans Mono"/>
      <w:color w:val="10263B"/>
      <w:sz w:val="17"/>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CoverEyebrow">
    <w:name w:val="Cover Eyebrow"/>
    <w:basedOn w:val="Normal"/>
    <w:pPr>
      <w:spacing w:after="360"/>
    </w:pPr>
    <w:rPr>
      <w:rFonts w:ascii="Noto Sans" w:hAnsi="Noto Sans" w:eastAsia="Noto Sans"/>
      <w:b/>
      <w:color w:val="63C7D4"/>
      <w:sz w:val="19"/>
    </w:rPr>
  </w:style>
  <w:style w:type="paragraph" w:customStyle="1" w:styleId="CoverTitle">
    <w:name w:val="Cover Title"/>
    <w:basedOn w:val="Normal"/>
    <w:pPr>
      <w:spacing w:after="100"/>
    </w:pPr>
    <w:rPr>
      <w:rFonts w:ascii="Noto Sans" w:hAnsi="Noto Sans" w:eastAsia="Noto Sans"/>
      <w:b/>
      <w:color w:val="FFFFFF"/>
      <w:sz w:val="70"/>
    </w:rPr>
  </w:style>
  <w:style w:type="paragraph" w:customStyle="1" w:styleId="CoverSubtitle">
    <w:name w:val="Cover Subtitle"/>
    <w:basedOn w:val="Normal"/>
    <w:pPr>
      <w:spacing w:after="240"/>
    </w:pPr>
    <w:rPr>
      <w:rFonts w:ascii="Noto Sans" w:hAnsi="Noto Sans" w:eastAsia="Noto Sans"/>
      <w:b w:val="0"/>
      <w:color w:val="FFFFFF"/>
      <w:sz w:val="36"/>
    </w:rPr>
  </w:style>
  <w:style w:type="paragraph" w:customStyle="1" w:styleId="CoverTagline">
    <w:name w:val="Cover Tagline"/>
    <w:basedOn w:val="Normal"/>
    <w:pPr>
      <w:spacing w:after="120"/>
    </w:pPr>
    <w:rPr>
      <w:rFonts w:ascii="Carlito" w:hAnsi="Carlito" w:eastAsia="Carlito"/>
      <w:color w:val="EAF4F8"/>
      <w:sz w:val="23"/>
    </w:rPr>
  </w:style>
  <w:style w:type="paragraph" w:customStyle="1" w:styleId="CoverSmall">
    <w:name w:val="Cover Small"/>
    <w:basedOn w:val="Normal"/>
    <w:pPr>
      <w:spacing w:after="60"/>
    </w:pPr>
    <w:rPr>
      <w:rFonts w:ascii="Carlito" w:hAnsi="Carlito" w:eastAsia="Carlito"/>
      <w:color w:val="44515C"/>
      <w:sz w:val="18"/>
    </w:rPr>
  </w:style>
  <w:style w:type="paragraph" w:customStyle="1" w:styleId="TOCIntro">
    <w:name w:val="TOC Intro"/>
    <w:basedOn w:val="Normal"/>
    <w:pPr>
      <w:spacing w:after="200"/>
    </w:pPr>
    <w:rPr>
      <w:rFonts w:ascii="Carlito" w:hAnsi="Carlito" w:eastAsia="Carlito"/>
      <w:color w:val="44515C"/>
      <w:sz w:val="18"/>
    </w:rPr>
  </w:style>
  <w:style w:type="paragraph" w:customStyle="1" w:styleId="TOC1">
    <w:name w:val="TOC 1"/>
    <w:basedOn w:val="Normal"/>
    <w:pPr>
      <w:keepLines/>
      <w:spacing w:before="50" w:after="24" w:line="240" w:lineRule="auto"/>
    </w:pPr>
    <w:rPr>
      <w:rFonts w:ascii="Carlito" w:hAnsi="Carlito" w:eastAsia="Carlito"/>
      <w:b/>
      <w:color w:val="17324D"/>
      <w:sz w:val="18"/>
    </w:rPr>
  </w:style>
  <w:style w:type="paragraph" w:customStyle="1" w:styleId="TOC2">
    <w:name w:val="TOC 2"/>
    <w:basedOn w:val="Normal"/>
    <w:pPr>
      <w:keepLines/>
      <w:spacing w:before="0" w:after="14" w:line="240" w:lineRule="auto"/>
      <w:ind w:left="317"/>
    </w:pPr>
    <w:rPr>
      <w:rFonts w:ascii="Carlito" w:hAnsi="Carlito" w:eastAsia="Carlito"/>
      <w:color w:val="44515C"/>
      <w:sz w:val="16"/>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73" Type="http://schemas.openxmlformats.org/officeDocument/2006/relationships/image" Target="media/rId173.png"/><Relationship Id="rId51" Type="http://schemas.openxmlformats.org/officeDocument/2006/relationships/image" Target="media/rId51.png"/><Relationship Id="rId62" Type="http://schemas.openxmlformats.org/officeDocument/2006/relationships/image" Target="media/rId62.png"/><Relationship Id="rId86" Type="http://schemas.openxmlformats.org/officeDocument/2006/relationships/image" Target="media/rId86.png"/><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sebastiansoja12/managerv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ManagerV2 Comprehensive Technical Documentation</dc:title>
  <dc:creator>ManagerV2 Engineering Documentation</dc:creator>
  <cp:keywords>ManagerV2, Java 21, Spring Boot, warehouse, modular monolith, technical documentation</cp:keywords>
  <dcterms:created xsi:type="dcterms:W3CDTF">2026-08-22T09:39:23Z</dcterms:created>
  <dcterms:modified xsi:type="dcterms:W3CDTF">2026-08-22T09:39:23Z</dcterms:modified>
  <dc:subject>Architecture, modules, security, data, integrations, containerization, and CI/CD</dc:subject>
  <dc:description>Comprehensive technical documentation for the ManagerV2 project.</dc:description>
  <cp:category>Technical Documentation</cp:category>
</cp:coreProperties>
</file>

<file path=docProps/custom.xml><?xml version="1.0" encoding="utf-8"?>
<Properties xmlns="http://schemas.openxmlformats.org/officeDocument/2006/custom-properties" xmlns:vt="http://schemas.openxmlformats.org/officeDocument/2006/docPropsVTypes"/>
</file>