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B88B13" w14:textId="77777777" w:rsidR="004F0614" w:rsidRDefault="004F0614">
      <w:pPr>
        <w:spacing w:before="1600"/>
      </w:pPr>
    </w:p>
    <w:p w14:paraId="0ABC4B25" w14:textId="77777777" w:rsidR="004F0614" w:rsidRDefault="00000000">
      <w:pPr>
        <w:spacing w:after="200"/>
        <w:jc w:val="center"/>
      </w:pPr>
      <w:r>
        <w:rPr>
          <w:color w:val="595959"/>
          <w:sz w:val="30"/>
          <w:szCs w:val="30"/>
        </w:rPr>
        <w:t>Umsetzungsplan</w:t>
      </w:r>
    </w:p>
    <w:p w14:paraId="749B8BDA" w14:textId="77777777" w:rsidR="004F0614" w:rsidRDefault="00000000">
      <w:pPr>
        <w:spacing w:after="100"/>
        <w:jc w:val="center"/>
      </w:pPr>
      <w:r>
        <w:rPr>
          <w:b/>
          <w:bCs/>
          <w:color w:val="1F3864"/>
          <w:sz w:val="44"/>
          <w:szCs w:val="44"/>
        </w:rPr>
        <w:t>„KI-gestützte Stücklistendatenerfassung“</w:t>
      </w:r>
    </w:p>
    <w:p w14:paraId="0E5119FE" w14:textId="77777777" w:rsidR="004F0614" w:rsidRDefault="00000000">
      <w:pPr>
        <w:spacing w:after="600"/>
        <w:jc w:val="center"/>
      </w:pPr>
      <w:r>
        <w:rPr>
          <w:color w:val="2E5395"/>
          <w:sz w:val="26"/>
          <w:szCs w:val="26"/>
        </w:rPr>
        <w:t>Analyse und Umsetzungsvorschlag aus Prozessia-Sicht</w:t>
      </w:r>
    </w:p>
    <w:p w14:paraId="585ED90C" w14:textId="77777777" w:rsidR="004F0614" w:rsidRDefault="00000000">
      <w:pPr>
        <w:spacing w:after="80"/>
        <w:jc w:val="center"/>
      </w:pPr>
      <w:r>
        <w:rPr>
          <w:color w:val="595959"/>
        </w:rPr>
        <w:t>Stand der Recherche: 05.08.2026</w:t>
      </w:r>
    </w:p>
    <w:p w14:paraId="49B98EE7" w14:textId="77777777" w:rsidR="004F0614" w:rsidRDefault="00000000">
      <w:pPr>
        <w:spacing w:after="80"/>
        <w:jc w:val="center"/>
      </w:pPr>
      <w:r>
        <w:rPr>
          <w:color w:val="595959"/>
        </w:rPr>
        <w:t>Grundlage: Lastenheft „KI-gestützte Stücklistendatenerfassung“ v. 05.08.2026 (M. Wiegner), 20 Kapitel</w:t>
      </w:r>
    </w:p>
    <w:p w14:paraId="6EAC232F" w14:textId="77777777" w:rsidR="004F0614" w:rsidRDefault="00000000">
      <w:pPr>
        <w:spacing w:before="800"/>
        <w:jc w:val="center"/>
      </w:pPr>
      <w:r>
        <w:rPr>
          <w:b/>
          <w:bCs/>
          <w:color w:val="1F3864"/>
        </w:rPr>
        <w:t>Prozessia GbR</w:t>
      </w:r>
    </w:p>
    <w:p w14:paraId="5CCEB829" w14:textId="77777777" w:rsidR="004F0614" w:rsidRDefault="00000000">
      <w:r>
        <w:br w:type="page"/>
      </w:r>
    </w:p>
    <w:p w14:paraId="017BE0EE" w14:textId="77777777" w:rsidR="004F0614" w:rsidRDefault="00000000">
      <w:pPr>
        <w:pStyle w:val="berschrift1"/>
        <w:pBdr>
          <w:bottom w:val="single" w:sz="8" w:space="4" w:color="1F3864"/>
        </w:pBdr>
        <w:spacing w:before="400" w:after="200"/>
      </w:pPr>
      <w:r>
        <w:rPr>
          <w:b/>
          <w:bCs/>
          <w:color w:val="1F3864"/>
        </w:rPr>
        <w:lastRenderedPageBreak/>
        <w:t>TEIL 1 — Lastenheft-Analyse</w:t>
      </w:r>
    </w:p>
    <w:p w14:paraId="0870AA62" w14:textId="77777777" w:rsidR="004F0614" w:rsidRDefault="00000000">
      <w:pPr>
        <w:pStyle w:val="berschrift2"/>
        <w:spacing w:before="320" w:after="140"/>
      </w:pPr>
      <w:r>
        <w:rPr>
          <w:b/>
          <w:bCs/>
          <w:color w:val="2E5395"/>
        </w:rPr>
        <w:t>1.1 Kapitelweise Bewertung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6"/>
        <w:gridCol w:w="5044"/>
        <w:gridCol w:w="3686"/>
      </w:tblGrid>
      <w:tr w:rsidR="004F0614" w14:paraId="74094A7A" w14:textId="77777777">
        <w:tblPrEx>
          <w:tblCellMar>
            <w:top w:w="0" w:type="dxa"/>
            <w:bottom w:w="0" w:type="dxa"/>
          </w:tblCellMar>
        </w:tblPrEx>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545339D" w14:textId="77777777" w:rsidR="004F0614" w:rsidRDefault="00000000">
            <w:pPr>
              <w:spacing w:after="60"/>
            </w:pPr>
            <w:r>
              <w:rPr>
                <w:b/>
                <w:bCs/>
                <w:color w:val="FFFFFF"/>
                <w:sz w:val="18"/>
                <w:szCs w:val="18"/>
              </w:rPr>
              <w:t>Kap.</w:t>
            </w:r>
          </w:p>
        </w:tc>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AD9F45A" w14:textId="77777777" w:rsidR="004F0614" w:rsidRDefault="00000000">
            <w:pPr>
              <w:spacing w:after="60"/>
            </w:pPr>
            <w:r>
              <w:rPr>
                <w:b/>
                <w:bCs/>
                <w:color w:val="FFFFFF"/>
                <w:sz w:val="18"/>
                <w:szCs w:val="18"/>
              </w:rPr>
              <w:t>Bewertung &amp; Umsetzungsansatz</w:t>
            </w:r>
          </w:p>
        </w:tc>
        <w:tc>
          <w:tcPr>
            <w:tcW w:w="38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67FE88E" w14:textId="77777777" w:rsidR="004F0614" w:rsidRDefault="00000000">
            <w:pPr>
              <w:spacing w:after="60"/>
            </w:pPr>
            <w:r>
              <w:rPr>
                <w:b/>
                <w:bCs/>
                <w:color w:val="FFFFFF"/>
                <w:sz w:val="18"/>
                <w:szCs w:val="18"/>
              </w:rPr>
              <w:t>Klärungsbedarf / Widersprüche</w:t>
            </w:r>
          </w:p>
        </w:tc>
      </w:tr>
      <w:tr w:rsidR="004F0614" w14:paraId="7E59322E"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7B21AF" w14:textId="77777777" w:rsidR="004F0614" w:rsidRDefault="00000000">
            <w:pPr>
              <w:spacing w:after="60"/>
            </w:pPr>
            <w:r>
              <w:rPr>
                <w:sz w:val="18"/>
                <w:szCs w:val="18"/>
              </w:rPr>
              <w:t>1 Unternehmen</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5C7F7B0" w14:textId="77777777" w:rsidR="004F0614" w:rsidRDefault="00000000">
            <w:pPr>
              <w:spacing w:after="60"/>
            </w:pPr>
            <w:r>
              <w:rPr>
                <w:sz w:val="18"/>
                <w:szCs w:val="18"/>
              </w:rPr>
              <w:t>Kontext, keine Anforderungen. Relevant: Fertigung nach fremden Produktdaten → keine Kontrolle über Eingangsformate, hohe Varianz ist Systemannahme, nicht Ausnahme.</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75EEDC" w14:textId="77777777" w:rsidR="004F0614" w:rsidRDefault="00000000">
            <w:pPr>
              <w:spacing w:after="60"/>
            </w:pPr>
            <w:r>
              <w:rPr>
                <w:sz w:val="18"/>
                <w:szCs w:val="18"/>
              </w:rPr>
              <w:t>—</w:t>
            </w:r>
          </w:p>
        </w:tc>
      </w:tr>
      <w:tr w:rsidR="004F0614" w14:paraId="60050FA0"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EE6FAC2" w14:textId="77777777" w:rsidR="004F0614" w:rsidRDefault="00000000">
            <w:pPr>
              <w:spacing w:after="60"/>
            </w:pPr>
            <w:r>
              <w:rPr>
                <w:sz w:val="18"/>
                <w:szCs w:val="18"/>
              </w:rPr>
              <w:t>2 Zweck/Zielbild</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E2EBB78" w14:textId="77777777" w:rsidR="004F0614" w:rsidRDefault="00000000">
            <w:pPr>
              <w:spacing w:after="60"/>
            </w:pPr>
            <w:r>
              <w:rPr>
                <w:sz w:val="18"/>
                <w:szCs w:val="18"/>
              </w:rPr>
              <w:t>Kernidee (heterogene Quellen → Schaufler-XLS) ist mit heutiger Technik gut umsetzbar (VLM-Dokumentparsing + LLM-Extraktion + regelbasierte Normalisierung, alles on-premise, s. Teil 2). „Werkzeug, kein Zwangssystem" und „fachliche Hoheit beim Konstrukteur" sind zentrale Architekturleitplanken: jede KI-Ausgabe ist Vorschlag mit Quelle, nie Fakt.</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1DAC004" w14:textId="77777777" w:rsidR="004F0614" w:rsidRDefault="00000000">
            <w:pPr>
              <w:spacing w:after="60"/>
            </w:pPr>
            <w:r>
              <w:rPr>
                <w:sz w:val="18"/>
                <w:szCs w:val="18"/>
              </w:rPr>
              <w:t>Zielbild nennt 3D-Daten, E-Mails, Protokolle als Eingang — Abnahmekriterien decken das nicht (→ Konfliktpunkt C). „Regelkonform laden": welche Richtlinie ist normativ? Aktuelle Fassung beistellen.</w:t>
            </w:r>
          </w:p>
        </w:tc>
      </w:tr>
      <w:tr w:rsidR="004F0614" w14:paraId="6005E849"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D35537A" w14:textId="77777777" w:rsidR="004F0614" w:rsidRDefault="00000000">
            <w:pPr>
              <w:spacing w:after="60"/>
            </w:pPr>
            <w:r>
              <w:rPr>
                <w:sz w:val="18"/>
                <w:szCs w:val="18"/>
              </w:rPr>
              <w:t>3 Ausgangslage</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1D04DCE" w14:textId="77777777" w:rsidR="004F0614" w:rsidRDefault="00000000">
            <w:pPr>
              <w:spacing w:after="60"/>
            </w:pPr>
            <w:r>
              <w:rPr>
                <w:sz w:val="18"/>
                <w:szCs w:val="18"/>
              </w:rPr>
              <w:t>Priorisierung PDF+OCR ist realistisch und deckt sich mit dem Stand der Technik. Acht Dokumentklassen genannt; „grundsätzlich alle unterstützen" heißt architektonisch: Import-/Klassifikationsschicht muss erweiterbar sein, nicht: alles im MVP semantisch auswerten.</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F45B38C" w14:textId="77777777" w:rsidR="004F0614" w:rsidRDefault="00000000">
            <w:pPr>
              <w:spacing w:after="60"/>
            </w:pPr>
            <w:r>
              <w:rPr>
                <w:sz w:val="18"/>
                <w:szCs w:val="18"/>
              </w:rPr>
              <w:t>Keine Angabe zu Scanqualität, Sprachenverteilung (nur „unterschiedliche Sprachen") und typischer Dokumentmenge → Mengengerüst (Konfliktpunkt E).</w:t>
            </w:r>
          </w:p>
        </w:tc>
      </w:tr>
      <w:tr w:rsidR="004F0614" w14:paraId="553B570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DAD1E0C" w14:textId="77777777" w:rsidR="004F0614" w:rsidRDefault="00000000">
            <w:pPr>
              <w:spacing w:after="60"/>
            </w:pPr>
            <w:r>
              <w:rPr>
                <w:sz w:val="18"/>
                <w:szCs w:val="18"/>
              </w:rPr>
              <w:t>4 Geltungsbereich</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56690EB" w14:textId="77777777" w:rsidR="004F0614" w:rsidRDefault="00000000">
            <w:pPr>
              <w:spacing w:after="60"/>
            </w:pPr>
            <w:r>
              <w:rPr>
                <w:sz w:val="18"/>
                <w:szCs w:val="18"/>
              </w:rPr>
              <w:t>Dreiteilung Arbeitsdump / Work Desk / Bearbeitungsstand ist tragfähig. „Keine Black-Box" ist die teuerste Einzelanforderung des Dokuments: vollständige Provenienz (Quelle → Regel/KI-Entscheidung → Wert) muss durchgängig im Datenmodell verankert sein, nachrüsten ist praktisch unmöglich. Wichtig: 4.1 nennt bereits „Status der Stücklistenpositionen" — das ist der Schlüssel zur Auflösung von Konfliktpunkt B.</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AD26A0D" w14:textId="77777777" w:rsidR="004F0614" w:rsidRDefault="00000000">
            <w:pPr>
              <w:spacing w:after="60"/>
            </w:pPr>
            <w:r>
              <w:rPr>
                <w:sz w:val="18"/>
                <w:szCs w:val="18"/>
              </w:rPr>
              <w:t>4.2 schließt automatische fachliche V&amp;V aus ↔ F18 fordert „implizite V&amp;V-Mechanismen" (→ Konfliktpunkt A).</w:t>
            </w:r>
          </w:p>
        </w:tc>
      </w:tr>
      <w:tr w:rsidR="004F0614" w14:paraId="195A72F6"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0868D5E" w14:textId="77777777" w:rsidR="004F0614" w:rsidRDefault="00000000">
            <w:pPr>
              <w:spacing w:after="60"/>
            </w:pPr>
            <w:r>
              <w:rPr>
                <w:sz w:val="18"/>
                <w:szCs w:val="18"/>
              </w:rPr>
              <w:t>5 Projektstruktur</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EA4995" w14:textId="77777777" w:rsidR="004F0614" w:rsidRDefault="00000000">
            <w:pPr>
              <w:spacing w:after="60"/>
            </w:pPr>
            <w:r>
              <w:rPr>
                <w:sz w:val="18"/>
                <w:szCs w:val="18"/>
              </w:rPr>
              <w:t>Kunde → Design-Projekt → Fertigungsauftrag 1..n: einfaches relationales Modell, unkritisch. Design ↔ mehrere Aufträge = n:m auf Stücklistenebene (geteilte vs. auftragsspezifische Positionen?).</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15AB53" w14:textId="77777777" w:rsidR="004F0614" w:rsidRDefault="00000000">
            <w:pPr>
              <w:spacing w:after="60"/>
            </w:pPr>
            <w:r>
              <w:rPr>
                <w:sz w:val="18"/>
                <w:szCs w:val="18"/>
              </w:rPr>
              <w:t>Wird eine Design-Stückliste in Aufträge kopiert oder referenziert? Beeinflusst Datenmodell erheblich — vor Kalkulation klären.</w:t>
            </w:r>
          </w:p>
        </w:tc>
      </w:tr>
      <w:tr w:rsidR="004F0614" w14:paraId="13B21C25"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DF8F8BF" w14:textId="77777777" w:rsidR="004F0614" w:rsidRDefault="00000000">
            <w:pPr>
              <w:spacing w:after="60"/>
            </w:pPr>
            <w:r>
              <w:rPr>
                <w:sz w:val="18"/>
                <w:szCs w:val="18"/>
              </w:rPr>
              <w:t>6 Benutzer/Rechte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36B85C4" w14:textId="77777777" w:rsidR="004F0614" w:rsidRDefault="00000000">
            <w:pPr>
              <w:spacing w:after="60"/>
            </w:pPr>
            <w:r>
              <w:rPr>
                <w:sz w:val="18"/>
                <w:szCs w:val="18"/>
              </w:rPr>
              <w:t>Eine Fachrolle, alle sehen alles — vereinfacht das System stark. Versionierung/Audit = Event-Log auf Entscheidungsebene, Standard.</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EF76388" w14:textId="77777777" w:rsidR="004F0614" w:rsidRDefault="00000000">
            <w:pPr>
              <w:spacing w:after="60"/>
            </w:pPr>
            <w:r>
              <w:rPr>
                <w:sz w:val="18"/>
                <w:szCs w:val="18"/>
              </w:rPr>
              <w:t>Kap. 17 fordert „Zugriff nur für Konstrukteure" → Authentifizierung nötig (AD/LDAP-Anbindung? lokale Nutzerverwaltung?) — im Lastenheft nicht spezifiziert. Technische Admin-Rolle (Nutzer, Templates, Betrieb) fehlt ebenfalls; sie ist keine „Fachrolle", muss aber existieren.</w:t>
            </w:r>
          </w:p>
        </w:tc>
      </w:tr>
      <w:tr w:rsidR="004F0614" w14:paraId="130E7F4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EE72B6" w14:textId="77777777" w:rsidR="004F0614" w:rsidRDefault="00000000">
            <w:pPr>
              <w:spacing w:after="60"/>
            </w:pPr>
            <w:r>
              <w:rPr>
                <w:sz w:val="18"/>
                <w:szCs w:val="18"/>
              </w:rPr>
              <w:t>7 Datenintegration</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B37D99" w14:textId="77777777" w:rsidR="004F0614" w:rsidRDefault="00000000">
            <w:pPr>
              <w:spacing w:after="60"/>
            </w:pPr>
            <w:r>
              <w:rPr>
                <w:sz w:val="18"/>
                <w:szCs w:val="18"/>
              </w:rPr>
              <w:t>Referenzieren statt Upload ist umsetzbar (SMB-Zugriff, Indexierung). Aber: Dateien auf Netzlaufwerken können sich ändern, verschoben oder archiviert werden, während Entscheidungen darauf verweisen. Ohne Gegenmaßnahme bricht die geforderte Nachvollziehbarkeit (F08, F12, Kap. 17 „Wiederherstellbarkeit"). Empfehlung: Content-Hash je Dokument + Cache der extraktionsrelevanten Renditionen (Seitenbilder, OCR-Ergebnisse) systemseitig — das ist keine „zwingende Duplizierung" des Originals, wahrt aber den Audit-Trail.</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0E60305" w14:textId="77777777" w:rsidR="004F0614" w:rsidRDefault="00000000">
            <w:pPr>
              <w:spacing w:after="60"/>
            </w:pPr>
            <w:r>
              <w:rPr>
                <w:sz w:val="18"/>
                <w:szCs w:val="18"/>
              </w:rPr>
              <w:t>Spannung „nicht zwingend dupliziert" ↔ Reproduzierbarkeit — explizit machen. Rot markierter Punkt Datenarchivierung (IT-Support) ist auch für uns kalkulationsrelevant (Speicherbedarf Cache). Cloud-Formulierung „für den MVP" → Konfliktpunkt D.</w:t>
            </w:r>
          </w:p>
        </w:tc>
      </w:tr>
      <w:tr w:rsidR="004F0614" w14:paraId="2D2CD26A"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E35AF6E" w14:textId="77777777" w:rsidR="004F0614" w:rsidRDefault="00000000">
            <w:pPr>
              <w:spacing w:after="60"/>
            </w:pPr>
            <w:r>
              <w:rPr>
                <w:sz w:val="18"/>
                <w:szCs w:val="18"/>
              </w:rPr>
              <w:t>8 Sollprozess</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C97D7FA" w14:textId="77777777" w:rsidR="004F0614" w:rsidRDefault="00000000">
            <w:pPr>
              <w:spacing w:after="60"/>
            </w:pPr>
            <w:r>
              <w:rPr>
                <w:sz w:val="18"/>
                <w:szCs w:val="18"/>
              </w:rPr>
              <w:t>Als KI-gestützte ETL-Pipeline sauber beschrieben, alle 7 Schritte technisch machbar (Teil 2). Schritt 4 „Später: Ontologie/Online-Datenbanken" bestätigt: Katalog-/Online-Abgleich ist Folgephase. Schritt 6 „Validierung" umfasst Teilegruppe/Kostenqualifizierer — laut Kap. 12 im MVP nicht automatisiert → Schritt 6 ist im MVP ein manueller, systemseitig nur dokumentierter Schritt.</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8457F2E" w14:textId="77777777" w:rsidR="004F0614" w:rsidRDefault="00000000">
            <w:pPr>
              <w:spacing w:after="60"/>
            </w:pPr>
            <w:r>
              <w:rPr>
                <w:sz w:val="18"/>
                <w:szCs w:val="18"/>
              </w:rPr>
              <w:t>„Kostenqualifizierer" taucht in Kap. 8/12 auf, ist aber kein Feld der Attributtabelle (nächstliegend: Nr. 15 „Zielkosten-Block Bezeichnung"). Begriffsklärung nötig.</w:t>
            </w:r>
          </w:p>
        </w:tc>
      </w:tr>
      <w:tr w:rsidR="004F0614" w14:paraId="05EE3D4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910A05" w14:textId="77777777" w:rsidR="004F0614" w:rsidRDefault="00000000">
            <w:pPr>
              <w:spacing w:after="60"/>
            </w:pPr>
            <w:r>
              <w:rPr>
                <w:sz w:val="18"/>
                <w:szCs w:val="18"/>
              </w:rPr>
              <w:t>9 Statusmodell</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3A2FAA" w14:textId="77777777" w:rsidR="004F0614" w:rsidRDefault="00000000">
            <w:pPr>
              <w:spacing w:after="60"/>
            </w:pPr>
            <w:r>
              <w:rPr>
                <w:sz w:val="18"/>
                <w:szCs w:val="18"/>
              </w:rPr>
              <w:t>4 Zustände + Export jederzeit + Snapshot: unkritisch.</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438265" w14:textId="77777777" w:rsidR="004F0614" w:rsidRDefault="00000000">
            <w:pPr>
              <w:spacing w:after="60"/>
            </w:pPr>
            <w:r>
              <w:rPr>
                <w:sz w:val="18"/>
                <w:szCs w:val="18"/>
              </w:rPr>
              <w:t xml:space="preserve">Statusmodell ist auf Ebene „Bearbeitungsstand" formuliert, AK 9 und AK </w:t>
            </w:r>
            <w:r>
              <w:rPr>
                <w:sz w:val="18"/>
                <w:szCs w:val="18"/>
              </w:rPr>
              <w:lastRenderedPageBreak/>
              <w:t>11 verlangen es faktisch pro Position → Konfliktpunkt B.</w:t>
            </w:r>
          </w:p>
        </w:tc>
      </w:tr>
      <w:tr w:rsidR="004F0614" w14:paraId="794B42E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FB18571" w14:textId="77777777" w:rsidR="004F0614" w:rsidRDefault="00000000">
            <w:pPr>
              <w:spacing w:after="60"/>
            </w:pPr>
            <w:r>
              <w:rPr>
                <w:sz w:val="18"/>
                <w:szCs w:val="18"/>
              </w:rPr>
              <w:lastRenderedPageBreak/>
              <w:t>10 Oberfläche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858FFD0" w14:textId="77777777" w:rsidR="004F0614" w:rsidRDefault="00000000">
            <w:pPr>
              <w:spacing w:after="60"/>
            </w:pPr>
            <w:r>
              <w:rPr>
                <w:sz w:val="18"/>
                <w:szCs w:val="18"/>
              </w:rPr>
              <w:t>Drei-Bereich-Layout, Dokumentenviewer mit OCR-Spotting-Frame, Docking/Multi-Monitor: mit reifen Frameworks umsetzbar (Teil 2), aber die aufwendigste UI im Projekt. Das Prompt-Feld zur Logiksteuerung ist die vagste Anforderung des gesamten Lastenhefts: „KI anweisen, Änderungen an der Logik vorzunehmen" braucht ein definiertes Logikbaustein-Schema, in das der LLM-Vorschlag übersetzt wird, plus verpflichtende Vorschau/Bestätigung — sonst kollidiert es mit „fachliche Hoheit beim Konstrukteur" und mit Kap. 14 („nicht jede Korrektur ungeprüft zur Regel").</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95ABE82" w14:textId="77777777" w:rsidR="004F0614" w:rsidRDefault="00000000">
            <w:pPr>
              <w:spacing w:after="60"/>
            </w:pPr>
            <w:r>
              <w:rPr>
                <w:sz w:val="18"/>
                <w:szCs w:val="18"/>
              </w:rPr>
              <w:t>Umfang Logikgatter-Visualisierung (welche Ebenen, wie interaktiv?) und Semantik des Prompt-Felds sind vor Stufe-3-Kalkulation zu präzisieren.</w:t>
            </w:r>
          </w:p>
        </w:tc>
      </w:tr>
      <w:tr w:rsidR="004F0614" w14:paraId="24CE99C3"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53D67D" w14:textId="77777777" w:rsidR="004F0614" w:rsidRDefault="00000000">
            <w:pPr>
              <w:spacing w:after="60"/>
            </w:pPr>
            <w:r>
              <w:rPr>
                <w:sz w:val="18"/>
                <w:szCs w:val="18"/>
              </w:rPr>
              <w:t>11 F01–F20</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658696E" w14:textId="77777777" w:rsidR="004F0614" w:rsidRDefault="00000000">
            <w:pPr>
              <w:spacing w:after="60"/>
            </w:pPr>
            <w:r>
              <w:rPr>
                <w:sz w:val="18"/>
                <w:szCs w:val="18"/>
              </w:rPr>
              <w:t>Überwiegend präzise. Kritisch: F03 („alle jederzeit bearbeiten") ↔ Kap. 15 („sequenziell weiterarbeiten") — gleichzeitiges Bearbeiten desselben Projekts ist nicht geregelt. Ohne Locking-/Merge-Konzept drohen stille Überschreibungen, die den Audit-Trail entwerten. Vorschlag: optimistisches Locking auf Positionsebene + Konfliktdialog. F20 („selbständig in die aktuelle Vorlage mappen") ↔ Kap. 16 („keine unzulässigen Änderungen an Feldnamen/Spaltenstruktur"): auflösbar über Template-Introspektion + assistiertes, versioniertes Mapping mit Bestätigungspflicht — vollautomatisches stilles Remapping wäre ein Qualitätsrisiko.</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8D169A4" w14:textId="77777777" w:rsidR="004F0614" w:rsidRDefault="00000000">
            <w:pPr>
              <w:spacing w:after="60"/>
            </w:pPr>
            <w:r>
              <w:rPr>
                <w:sz w:val="18"/>
                <w:szCs w:val="18"/>
              </w:rPr>
              <w:t>F01 „weitere Dokumentarten": im MVP als referenzierte Ablage (ohne semantische Auswertung) akzeptabel? F18 → Konfliktpunkt A.</w:t>
            </w:r>
          </w:p>
        </w:tc>
      </w:tr>
      <w:tr w:rsidR="004F0614" w14:paraId="5E555737"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4ED97DF" w14:textId="77777777" w:rsidR="004F0614" w:rsidRDefault="00000000">
            <w:pPr>
              <w:spacing w:after="60"/>
            </w:pPr>
            <w:r>
              <w:rPr>
                <w:sz w:val="18"/>
                <w:szCs w:val="18"/>
              </w:rPr>
              <w:t>12 Datenmodell</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9E80B2C" w14:textId="77777777" w:rsidR="004F0614" w:rsidRDefault="00000000">
            <w:pPr>
              <w:spacing w:after="60"/>
            </w:pPr>
            <w:r>
              <w:rPr>
                <w:sz w:val="18"/>
                <w:szCs w:val="18"/>
              </w:rPr>
              <w:t>16 Kernattribute DE/EN, konfigurierbare Feldmengen: klar. Formatregeln (z. B. Härte) statt Stammdatenlisten senken Aufwand. Benennungsnormalisierung = Dictionary + Fuzzy/Embedding-Matching.</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601638F" w14:textId="77777777" w:rsidR="004F0614" w:rsidRDefault="00000000">
            <w:pPr>
              <w:spacing w:after="60"/>
            </w:pPr>
            <w:r>
              <w:rPr>
                <w:sz w:val="18"/>
                <w:szCs w:val="18"/>
              </w:rPr>
              <w:t>Woher kommt das initiale Dictionary? (Alt-Stücklisten als Trainings-/Referenzbasis beistellen.)</w:t>
            </w:r>
          </w:p>
        </w:tc>
      </w:tr>
      <w:tr w:rsidR="004F0614" w14:paraId="0F4219E8"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AFFB2E6" w14:textId="77777777" w:rsidR="004F0614" w:rsidRDefault="00000000">
            <w:pPr>
              <w:spacing w:after="60"/>
            </w:pPr>
            <w:r>
              <w:rPr>
                <w:sz w:val="18"/>
                <w:szCs w:val="18"/>
              </w:rPr>
              <w:t>13 Konfliktmanagement</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E7ED3D6" w14:textId="77777777" w:rsidR="004F0614" w:rsidRDefault="00000000">
            <w:pPr>
              <w:spacing w:after="60"/>
            </w:pPr>
            <w:r>
              <w:rPr>
                <w:sz w:val="18"/>
                <w:szCs w:val="18"/>
              </w:rPr>
              <w:t>„Auflösungsfälle statt Ursachenanalyse" ist eine gute, umsetzbare Vereinfachung. Dropdown-Auflösung + optionaler Kommentar: klar spezifiziert.</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9167A6" w14:textId="77777777" w:rsidR="004F0614" w:rsidRDefault="00000000">
            <w:pPr>
              <w:spacing w:after="60"/>
            </w:pPr>
            <w:r>
              <w:rPr>
                <w:sz w:val="18"/>
                <w:szCs w:val="18"/>
              </w:rPr>
              <w:t>Verhalten bei nachträglich eintreffenden Quellen, die eine bereits aufgelöste Entscheidung erneut in Konflikt setzen? (Re-Open vs. dokumentierte Ausnahme.)</w:t>
            </w:r>
          </w:p>
        </w:tc>
      </w:tr>
      <w:tr w:rsidR="004F0614" w14:paraId="7F2B337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5E8A182" w14:textId="77777777" w:rsidR="004F0614" w:rsidRDefault="00000000">
            <w:pPr>
              <w:spacing w:after="60"/>
            </w:pPr>
            <w:r>
              <w:rPr>
                <w:sz w:val="18"/>
                <w:szCs w:val="18"/>
              </w:rPr>
              <w:t>14 Regelverwaltung</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888FC52" w14:textId="77777777" w:rsidR="004F0614" w:rsidRDefault="00000000">
            <w:pPr>
              <w:spacing w:after="60"/>
            </w:pPr>
            <w:r>
              <w:rPr>
                <w:sz w:val="18"/>
                <w:szCs w:val="18"/>
              </w:rPr>
              <w:t>Versionierte Regeln mit Geltungsbereich (allgemein/kunden-/projektspezifisch) + Rollback: mit Rules-as-Data-Ansatz gut machbar (Teil 2). Die Leitplanke „nicht jede Korrektur ungeprüft global" erzwingt einen Promotion-Workflow (Korrektur → Regelvorschlag → Test → Aktivierung mit Scope).</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A44DEFC" w14:textId="77777777" w:rsidR="004F0614" w:rsidRDefault="00000000">
            <w:pPr>
              <w:spacing w:after="60"/>
            </w:pPr>
            <w:r>
              <w:rPr>
                <w:sz w:val="18"/>
                <w:szCs w:val="18"/>
              </w:rPr>
              <w:t>Präzedenzordnung bei Regelkonflikten (projektspezifisch schlägt kundenspezifisch schlägt allgemein?) ist nicht definiert — muss festgelegt werden.</w:t>
            </w:r>
          </w:p>
        </w:tc>
      </w:tr>
      <w:tr w:rsidR="004F0614" w14:paraId="4370CD4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7639A0E" w14:textId="77777777" w:rsidR="004F0614" w:rsidRDefault="00000000">
            <w:pPr>
              <w:spacing w:after="60"/>
            </w:pPr>
            <w:r>
              <w:rPr>
                <w:sz w:val="18"/>
                <w:szCs w:val="18"/>
              </w:rPr>
              <w:t>15 Kollaboration</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19DBCA" w14:textId="77777777" w:rsidR="004F0614" w:rsidRDefault="00000000">
            <w:pPr>
              <w:spacing w:after="60"/>
            </w:pPr>
            <w:r>
              <w:rPr>
                <w:sz w:val="18"/>
                <w:szCs w:val="18"/>
              </w:rPr>
              <w:t>Implizite Übergabe über Transparenz: folgt aus F08–F12, kein Zusatzaufwand.</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211798D" w14:textId="77777777" w:rsidR="004F0614" w:rsidRDefault="00000000">
            <w:pPr>
              <w:spacing w:after="60"/>
            </w:pPr>
            <w:r>
              <w:rPr>
                <w:sz w:val="18"/>
                <w:szCs w:val="18"/>
              </w:rPr>
              <w:t>„Sequenziell" ↔ F03, s. o.</w:t>
            </w:r>
          </w:p>
        </w:tc>
      </w:tr>
      <w:tr w:rsidR="004F0614" w14:paraId="1B1C8ECC"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980BA7E" w14:textId="77777777" w:rsidR="004F0614" w:rsidRDefault="00000000">
            <w:pPr>
              <w:spacing w:after="60"/>
            </w:pPr>
            <w:r>
              <w:rPr>
                <w:sz w:val="18"/>
                <w:szCs w:val="18"/>
              </w:rPr>
              <w:t>16 Export</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A7F6477" w14:textId="77777777" w:rsidR="004F0614" w:rsidRDefault="00000000">
            <w:pPr>
              <w:spacing w:after="60"/>
            </w:pPr>
            <w:r>
              <w:rPr>
                <w:sz w:val="18"/>
                <w:szCs w:val="18"/>
              </w:rPr>
              <w:t>Ausschließlich Excel, strukturtreu, jederzeit, Snapshot: unkritisch.</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43E0A43" w14:textId="77777777" w:rsidR="004F0614" w:rsidRDefault="00000000">
            <w:pPr>
              <w:spacing w:after="60"/>
            </w:pPr>
            <w:r>
              <w:rPr>
                <w:sz w:val="18"/>
                <w:szCs w:val="18"/>
              </w:rPr>
              <w:t>Governance der Vorlage: wer erklärt eine neue Vorlagenversion für gültig, wo liegt sie? (Bezug F20.)</w:t>
            </w:r>
          </w:p>
        </w:tc>
      </w:tr>
      <w:tr w:rsidR="004F0614" w14:paraId="639B1BAF"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19EF583" w14:textId="77777777" w:rsidR="004F0614" w:rsidRDefault="00000000">
            <w:pPr>
              <w:spacing w:after="60"/>
            </w:pPr>
            <w:r>
              <w:rPr>
                <w:sz w:val="18"/>
                <w:szCs w:val="18"/>
              </w:rPr>
              <w:t>17 NFA</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3D6E6B" w14:textId="77777777" w:rsidR="004F0614" w:rsidRDefault="00000000">
            <w:pPr>
              <w:spacing w:after="60"/>
            </w:pPr>
            <w:r>
              <w:rPr>
                <w:sz w:val="18"/>
                <w:szCs w:val="18"/>
              </w:rPr>
              <w:t>On-Premise ohne Einschränkung („Das Bereitstellungsmodell ist On-Premise"). Modulare Architektur, spätere Ontologie-Erweiterung: durch Pipeline-Design abgedeckt. Netzwerklatenz bei großen Dokumentmengen ist real → lokaler Cache (s. Kap. 7) ist auch hier die Antwort.</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1C1D1D1" w14:textId="77777777" w:rsidR="004F0614" w:rsidRDefault="00000000">
            <w:pPr>
              <w:spacing w:after="60"/>
            </w:pPr>
            <w:r>
              <w:rPr>
                <w:sz w:val="18"/>
                <w:szCs w:val="18"/>
              </w:rPr>
              <w:t>Keine quantifizierten Ziele (Antwortzeiten, Verfügbarkeit, Durchsatz) — Kap. 20 nennt das selbst als offen. Betriebsverantwortung (wer patcht Server/Modelle?) ungeklärt.</w:t>
            </w:r>
          </w:p>
        </w:tc>
      </w:tr>
      <w:tr w:rsidR="004F0614" w14:paraId="35EB321B"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08203D5" w14:textId="77777777" w:rsidR="004F0614" w:rsidRDefault="00000000">
            <w:pPr>
              <w:spacing w:after="60"/>
            </w:pPr>
            <w:r>
              <w:rPr>
                <w:sz w:val="18"/>
                <w:szCs w:val="18"/>
              </w:rPr>
              <w:t>18 Ausgrenzungen</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6D9D481" w14:textId="77777777" w:rsidR="004F0614" w:rsidRDefault="00000000">
            <w:pPr>
              <w:spacing w:after="60"/>
            </w:pPr>
            <w:r>
              <w:rPr>
                <w:sz w:val="18"/>
                <w:szCs w:val="18"/>
              </w:rPr>
              <w:t>Konsistent zu 4.2.</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DBA0F57" w14:textId="77777777" w:rsidR="004F0614" w:rsidRDefault="00000000">
            <w:pPr>
              <w:spacing w:after="60"/>
            </w:pPr>
            <w:r>
              <w:rPr>
                <w:sz w:val="18"/>
                <w:szCs w:val="18"/>
              </w:rPr>
              <w:t>—</w:t>
            </w:r>
          </w:p>
        </w:tc>
      </w:tr>
      <w:tr w:rsidR="004F0614" w14:paraId="7DC5B9CD"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AEE03D0" w14:textId="77777777" w:rsidR="004F0614" w:rsidRDefault="00000000">
            <w:pPr>
              <w:spacing w:after="60"/>
            </w:pPr>
            <w:r>
              <w:rPr>
                <w:sz w:val="18"/>
                <w:szCs w:val="18"/>
              </w:rPr>
              <w:t>19 Abnahme</w:t>
            </w:r>
          </w:p>
        </w:tc>
        <w:tc>
          <w:tcPr>
            <w:tcW w:w="53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14F969" w14:textId="77777777" w:rsidR="004F0614" w:rsidRDefault="00000000">
            <w:pPr>
              <w:spacing w:after="60"/>
            </w:pPr>
            <w:r>
              <w:rPr>
                <w:sz w:val="18"/>
                <w:szCs w:val="18"/>
              </w:rPr>
              <w:t>11 von 12 Kriterien präzise prüfbar.</w:t>
            </w:r>
          </w:p>
        </w:tc>
        <w:tc>
          <w:tcPr>
            <w:tcW w:w="38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7B1097D" w14:textId="77777777" w:rsidR="004F0614" w:rsidRDefault="00000000">
            <w:pPr>
              <w:spacing w:after="60"/>
            </w:pPr>
            <w:r>
              <w:rPr>
                <w:sz w:val="18"/>
                <w:szCs w:val="18"/>
              </w:rPr>
              <w:t>AK 9 → Konfliktpunkt B. AK 5 („korrekt aggregiert") braucht ein Referenz-Testset mit Ground Truth, sonst nicht abnehmbar.</w:t>
            </w:r>
          </w:p>
        </w:tc>
      </w:tr>
      <w:tr w:rsidR="004F0614" w14:paraId="09E56011" w14:textId="77777777">
        <w:tblPrEx>
          <w:tblCellMar>
            <w:top w:w="0" w:type="dxa"/>
            <w:bottom w:w="0" w:type="dxa"/>
          </w:tblCellMar>
        </w:tblPrEx>
        <w:tc>
          <w:tcPr>
            <w:tcW w:w="1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575F2EC" w14:textId="77777777" w:rsidR="004F0614" w:rsidRDefault="00000000">
            <w:pPr>
              <w:spacing w:after="60"/>
            </w:pPr>
            <w:r>
              <w:rPr>
                <w:sz w:val="18"/>
                <w:szCs w:val="18"/>
              </w:rPr>
              <w:t>20 Offene Punkte</w:t>
            </w:r>
          </w:p>
        </w:tc>
        <w:tc>
          <w:tcPr>
            <w:tcW w:w="53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8F50E8B" w14:textId="77777777" w:rsidR="004F0614" w:rsidRDefault="00000000">
            <w:pPr>
              <w:spacing w:after="60"/>
            </w:pPr>
            <w:r>
              <w:rPr>
                <w:sz w:val="18"/>
                <w:szCs w:val="18"/>
              </w:rPr>
              <w:t>Deckt sich weitgehend mit unserer Liste (Teil 4).</w:t>
            </w:r>
          </w:p>
        </w:tc>
        <w:tc>
          <w:tcPr>
            <w:tcW w:w="38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C3BB6ED" w14:textId="77777777" w:rsidR="004F0614" w:rsidRDefault="00000000">
            <w:pPr>
              <w:spacing w:after="60"/>
            </w:pPr>
            <w:r>
              <w:rPr>
                <w:sz w:val="18"/>
                <w:szCs w:val="18"/>
              </w:rPr>
              <w:t>—</w:t>
            </w:r>
          </w:p>
        </w:tc>
      </w:tr>
    </w:tbl>
    <w:p w14:paraId="3FA327F8" w14:textId="77777777" w:rsidR="004F0614" w:rsidRDefault="00000000">
      <w:pPr>
        <w:pStyle w:val="berschrift2"/>
        <w:spacing w:before="320" w:after="140"/>
      </w:pPr>
      <w:r>
        <w:rPr>
          <w:b/>
          <w:bCs/>
          <w:color w:val="2E5395"/>
        </w:rPr>
        <w:lastRenderedPageBreak/>
        <w:t>1.2 Die fünf Konfliktpunkte im Detail</w:t>
      </w:r>
    </w:p>
    <w:p w14:paraId="71412CFB" w14:textId="77777777" w:rsidR="004F0614" w:rsidRDefault="00000000">
      <w:pPr>
        <w:pStyle w:val="berschrift3"/>
        <w:spacing w:before="220" w:after="100"/>
      </w:pPr>
      <w:r>
        <w:rPr>
          <w:b/>
          <w:bCs/>
          <w:color w:val="1F3864"/>
        </w:rPr>
        <w:t>A) F18 „implizite V&amp;V“ vs. 4.2 „keine automatische fachliche V&amp;V“</w:t>
      </w:r>
    </w:p>
    <w:p w14:paraId="6C679BDB" w14:textId="77777777" w:rsidR="004F0614" w:rsidRDefault="00000000">
      <w:pPr>
        <w:spacing w:after="160" w:line="288" w:lineRule="auto"/>
        <w:jc w:val="both"/>
      </w:pPr>
      <w:r>
        <w:t>Kein echter Widerspruch, aber eine gefährlich unscharfe Formulierung. Konsistente Lesart aus dem Dokument selbst: Kap. 4.1 sagt „ein manueller Verifikations- und Validierungsmechanismus wird erwartet", Kap. 8 definiert Schritt 5/6 als „System zeigt an — Konstrukteur prüft/bewertet". F18 bedeutet demnach: das System muss manuelle V&amp;V in den normalen Arbeitsfluss einbetten (Quellenanzeige, Konfliktmarkierung, Statusübergänge, Auflösungsdialog), ohne separaten Formalprozess (deckungsgleich mit F17/Kap. 15). Zulässig bleiben daneben formale Prüfungen ohne fachliche Wertung: Formatregeln (Härte), Pflichtfeld-Vollständigkeit, Summenplausibilität. Nicht zulässig im MVP: automatisches fachliches Urteil („Werkstoff passt nicht zur Teilegruppe"). Diese Lesart ist plausibel, aber vor Angebotsabgabe schriftlich zu bestätigen — sie trennt zweistellige Personentage.</w:t>
      </w:r>
    </w:p>
    <w:p w14:paraId="5DD3185E" w14:textId="77777777" w:rsidR="004F0614" w:rsidRDefault="00000000">
      <w:pPr>
        <w:pStyle w:val="berschrift3"/>
        <w:spacing w:before="220" w:after="100"/>
      </w:pPr>
      <w:r>
        <w:rPr>
          <w:b/>
          <w:bCs/>
          <w:color w:val="1F3864"/>
        </w:rPr>
        <w:t>B) AK 9 „manueller Freigabeprozess einzelner Positionen“ vs. Kap. 6 (keine Freigeber-Rolle) vs. Kap. 9 (Status auf Standsebene)</w:t>
      </w:r>
    </w:p>
    <w:p w14:paraId="065AB913" w14:textId="77777777" w:rsidR="004F0614" w:rsidRDefault="00000000">
      <w:pPr>
        <w:spacing w:after="160" w:line="288" w:lineRule="auto"/>
        <w:jc w:val="both"/>
      </w:pPr>
      <w:r>
        <w:t>Auflösung über drei Feststellungen: (1) Kap. 4.1 fordert explizit „Status der Stücklistenpositionen" — Positionsstatus ist also gewollt. (2) AK 11 verlangt das Herausfiltern „noch nicht freigegebener Positionen" beim Export — das geht nur mit Positionsstatus. (3) „Freigabe" ist hier kein Rollenkonzept, sondern ein Statusübergang, den jeder Konstrukteur setzen darf (Kap. 6 bleibt gewahrt: keine Rollentrennung, aber Audit: wer hat wann freigegeben). Konsequenz für uns: Das Statusmodell aus Kap. 9 wird auf Positionsebene implementiert; der „Bearbeitungsstand" des Projekts ist eine Aggregation. Das ist eine Präzisierung des Lastenhefts, keine Abweichung — im Pflichtenheft festschreiben.</w:t>
      </w:r>
    </w:p>
    <w:p w14:paraId="617AC918" w14:textId="77777777" w:rsidR="004F0614" w:rsidRDefault="00000000">
      <w:pPr>
        <w:pStyle w:val="berschrift3"/>
        <w:spacing w:before="220" w:after="100"/>
      </w:pPr>
      <w:r>
        <w:rPr>
          <w:b/>
          <w:bCs/>
          <w:color w:val="1F3864"/>
        </w:rPr>
        <w:t>C) 3D-Daten im Zielbild, aber nicht in den Abnahmekriterien</w:t>
      </w:r>
    </w:p>
    <w:p w14:paraId="3E818A97" w14:textId="77777777" w:rsidR="004F0614" w:rsidRDefault="00000000">
      <w:pPr>
        <w:spacing w:after="160" w:line="288" w:lineRule="auto"/>
        <w:jc w:val="both"/>
      </w:pPr>
      <w:r>
        <w:t>Faktisch ja: 3D ist aus dem abnahmerelevanten MVP-Umfang raus (AK 1 nennt nur PDF/Excel/CSV; Kap. 3 priorisiert PDF). Aber Kap. 3 sagt auch „grundsätzlich alle Eingangsdatenarten unterstützen". Auflösung: Im MVP werden 3D-Dateien (und E-Mails/Protokolle) als referenzierte Dokumente im Arbeitsdump geführt (ablegbar, anzeigbar als Verweis, einer Position manuell zuordenbar), aber nicht semantisch ausgewertet. Zwingend zu klären: Erwartet Schaufler irgendeine 3D-Auswertung (STEP/JT-Metadaten? Viewer?) — Geometrie-Parsing wäre ein eigenes Teilprojekt und darf nicht stillschweigend im Begriff „aufnehmen" mitschwingen.</w:t>
      </w:r>
    </w:p>
    <w:p w14:paraId="0AAE99C7" w14:textId="77777777" w:rsidR="004F0614" w:rsidRDefault="00000000">
      <w:pPr>
        <w:pStyle w:val="berschrift3"/>
        <w:spacing w:before="220" w:after="100"/>
      </w:pPr>
      <w:r>
        <w:rPr>
          <w:b/>
          <w:bCs/>
          <w:color w:val="1F3864"/>
        </w:rPr>
        <w:t>D) On-Premise dauerhaft oder nur im MVP?</w:t>
      </w:r>
    </w:p>
    <w:p w14:paraId="674E0F61" w14:textId="77777777" w:rsidR="004F0614" w:rsidRDefault="00000000">
      <w:pPr>
        <w:spacing w:after="160" w:line="288" w:lineRule="auto"/>
        <w:jc w:val="both"/>
      </w:pPr>
      <w:r>
        <w:t>Kap. 17 setzt das Bereitstellungsmodell ohne Einschränkung auf On-Premise; Kap. 7 begründet es strukturell (Netzlaufwerke, Datenmengen, Vertraulichkeit). Die MVP-Einschränkung in 7.1 bezieht sich nach unserer Lesart nicht auf das Deployment, sondern auf Datenanreicherung: Kap. 8 Schritt 4 sieht „später" den Abgleich mit Online-Datenbanken und Herstellerkatalogen vor — das sind ausgehende Abfragen, kein Cloud-Hosting. Konsequenz für uns: Architektur und Modellwahl müssen dauerhaft on-premise tragfähig sein (keine API-LLMs, auch nicht „nur für den PoC", sofern Schaufler das nicht ausdrücklich freigibt). Zu klären: Ist ein Air-Gap gefordert oder sind kontrollierte ausgehende Verbindungen (Modell-Downloads, Updates, spätere Katalogabfragen) zulässig? Das entscheidet über Update-Strategie und Betriebsaufwand.</w:t>
      </w:r>
    </w:p>
    <w:p w14:paraId="38B0DCE6" w14:textId="77777777" w:rsidR="004F0614" w:rsidRDefault="00000000">
      <w:pPr>
        <w:pStyle w:val="berschrift3"/>
        <w:spacing w:before="220" w:after="100"/>
      </w:pPr>
      <w:r>
        <w:rPr>
          <w:b/>
          <w:bCs/>
          <w:color w:val="1F3864"/>
        </w:rPr>
        <w:t>E) Fehlendes Mengengerüst und fehlende Genauigkeitsanforderung</w:t>
      </w:r>
    </w:p>
    <w:p w14:paraId="7417232A" w14:textId="77777777" w:rsidR="004F0614" w:rsidRDefault="00000000">
      <w:pPr>
        <w:spacing w:after="160" w:line="288" w:lineRule="auto"/>
        <w:jc w:val="both"/>
      </w:pPr>
      <w:r>
        <w:t>Ohne folgende Parameter ist keine seriöse Aufwands- und Hardwareschätzung möglich — sie sind in der Konzeptphase zwingend zu erheben:</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5766"/>
      </w:tblGrid>
      <w:tr w:rsidR="004F0614" w14:paraId="1681AF9B" w14:textId="77777777">
        <w:tblPrEx>
          <w:tblCellMar>
            <w:top w:w="0" w:type="dxa"/>
            <w:bottom w:w="0" w:type="dxa"/>
          </w:tblCellMar>
        </w:tblPrEx>
        <w:trPr>
          <w:tblHeader/>
        </w:trPr>
        <w:tc>
          <w:tcPr>
            <w:tcW w:w="4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36AD0AA1" w14:textId="77777777" w:rsidR="004F0614" w:rsidRDefault="00000000">
            <w:pPr>
              <w:spacing w:after="60"/>
            </w:pPr>
            <w:r>
              <w:rPr>
                <w:b/>
                <w:bCs/>
                <w:color w:val="FFFFFF"/>
                <w:sz w:val="18"/>
                <w:szCs w:val="18"/>
              </w:rPr>
              <w:t>Parameter</w:t>
            </w:r>
          </w:p>
        </w:tc>
        <w:tc>
          <w:tcPr>
            <w:tcW w:w="57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277D8C72" w14:textId="77777777" w:rsidR="004F0614" w:rsidRDefault="00000000">
            <w:pPr>
              <w:spacing w:after="60"/>
            </w:pPr>
            <w:r>
              <w:rPr>
                <w:b/>
                <w:bCs/>
                <w:color w:val="FFFFFF"/>
                <w:sz w:val="18"/>
                <w:szCs w:val="18"/>
              </w:rPr>
              <w:t>Warum kalkulationskritisch</w:t>
            </w:r>
          </w:p>
        </w:tc>
      </w:tr>
      <w:tr w:rsidR="004F0614" w14:paraId="7F14610C"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83A9E03" w14:textId="77777777" w:rsidR="004F0614" w:rsidRDefault="00000000">
            <w:pPr>
              <w:spacing w:after="60"/>
            </w:pPr>
            <w:r>
              <w:rPr>
                <w:sz w:val="18"/>
                <w:szCs w:val="18"/>
              </w:rPr>
              <w:t>Positionen je Stückliste (typisch/max)</w:t>
            </w:r>
          </w:p>
        </w:tc>
        <w:tc>
          <w:tcPr>
            <w:tcW w:w="57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BCC7E41" w14:textId="77777777" w:rsidR="004F0614" w:rsidRDefault="00000000">
            <w:pPr>
              <w:spacing w:after="60"/>
            </w:pPr>
            <w:r>
              <w:rPr>
                <w:sz w:val="18"/>
                <w:szCs w:val="18"/>
              </w:rPr>
              <w:t>UI-Performance, Konsolidierungslogik, Testumfang</w:t>
            </w:r>
          </w:p>
        </w:tc>
      </w:tr>
      <w:tr w:rsidR="004F0614" w14:paraId="4F80B899"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BDBF69B" w14:textId="77777777" w:rsidR="004F0614" w:rsidRDefault="00000000">
            <w:pPr>
              <w:spacing w:after="60"/>
            </w:pPr>
            <w:r>
              <w:rPr>
                <w:sz w:val="18"/>
                <w:szCs w:val="18"/>
              </w:rPr>
              <w:t>Dokumente + Seiten je Fertigungsauftrag; Anteil Scan vs. digital; Scanqualität (dpi)</w:t>
            </w:r>
          </w:p>
        </w:tc>
        <w:tc>
          <w:tcPr>
            <w:tcW w:w="57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0906BB4" w14:textId="77777777" w:rsidR="004F0614" w:rsidRDefault="00000000">
            <w:pPr>
              <w:spacing w:after="60"/>
            </w:pPr>
            <w:r>
              <w:rPr>
                <w:sz w:val="18"/>
                <w:szCs w:val="18"/>
              </w:rPr>
              <w:t>OCR-Aufwand, GPU-Dimensionierung, Verarbeitungszeit</w:t>
            </w:r>
          </w:p>
        </w:tc>
      </w:tr>
      <w:tr w:rsidR="004F0614" w14:paraId="31E66FFD"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836A81E" w14:textId="77777777" w:rsidR="004F0614" w:rsidRDefault="00000000">
            <w:pPr>
              <w:spacing w:after="60"/>
            </w:pPr>
            <w:r>
              <w:rPr>
                <w:sz w:val="18"/>
                <w:szCs w:val="18"/>
              </w:rPr>
              <w:t>Neue Fertigungsaufträge pro Jahr</w:t>
            </w:r>
          </w:p>
        </w:tc>
        <w:tc>
          <w:tcPr>
            <w:tcW w:w="57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3DC34E9" w14:textId="77777777" w:rsidR="004F0614" w:rsidRDefault="00000000">
            <w:pPr>
              <w:spacing w:after="60"/>
            </w:pPr>
            <w:r>
              <w:rPr>
                <w:sz w:val="18"/>
                <w:szCs w:val="18"/>
              </w:rPr>
              <w:t>Durchsatzanforderung, Batch- vs. Interaktivlast</w:t>
            </w:r>
          </w:p>
        </w:tc>
      </w:tr>
      <w:tr w:rsidR="004F0614" w14:paraId="7ABF2D35"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063103A" w14:textId="77777777" w:rsidR="004F0614" w:rsidRDefault="00000000">
            <w:pPr>
              <w:spacing w:after="60"/>
            </w:pPr>
            <w:r>
              <w:rPr>
                <w:sz w:val="18"/>
                <w:szCs w:val="18"/>
              </w:rPr>
              <w:lastRenderedPageBreak/>
              <w:t>Gleichzeitige Nutzer (die Annahme 5–15 ist unsere, nicht Schauflers)</w:t>
            </w:r>
          </w:p>
        </w:tc>
        <w:tc>
          <w:tcPr>
            <w:tcW w:w="57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37280AD" w14:textId="77777777" w:rsidR="004F0614" w:rsidRDefault="00000000">
            <w:pPr>
              <w:spacing w:after="60"/>
            </w:pPr>
            <w:r>
              <w:rPr>
                <w:sz w:val="18"/>
                <w:szCs w:val="18"/>
              </w:rPr>
              <w:t>Serversizing, Locking-Konzept</w:t>
            </w:r>
          </w:p>
        </w:tc>
      </w:tr>
      <w:tr w:rsidR="004F0614" w14:paraId="4CD89819"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3364B95" w14:textId="77777777" w:rsidR="004F0614" w:rsidRDefault="00000000">
            <w:pPr>
              <w:spacing w:after="60"/>
            </w:pPr>
            <w:r>
              <w:rPr>
                <w:sz w:val="18"/>
                <w:szCs w:val="18"/>
              </w:rPr>
              <w:t>Sprachenverteilung der Fremddaten</w:t>
            </w:r>
          </w:p>
        </w:tc>
        <w:tc>
          <w:tcPr>
            <w:tcW w:w="57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FE5A3D" w14:textId="77777777" w:rsidR="004F0614" w:rsidRDefault="00000000">
            <w:pPr>
              <w:spacing w:after="60"/>
            </w:pPr>
            <w:r>
              <w:rPr>
                <w:sz w:val="18"/>
                <w:szCs w:val="18"/>
              </w:rPr>
              <w:t>Modellwahl, Dictionary-Umfang</w:t>
            </w:r>
          </w:p>
        </w:tc>
      </w:tr>
      <w:tr w:rsidR="004F0614" w14:paraId="13D0BAEC" w14:textId="77777777">
        <w:tblPrEx>
          <w:tblCellMar>
            <w:top w:w="0" w:type="dxa"/>
            <w:bottom w:w="0" w:type="dxa"/>
          </w:tblCellMar>
        </w:tblPrEx>
        <w:tc>
          <w:tcPr>
            <w:tcW w:w="47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C4FCAEE" w14:textId="77777777" w:rsidR="004F0614" w:rsidRDefault="00000000">
            <w:pPr>
              <w:spacing w:after="60"/>
            </w:pPr>
            <w:r>
              <w:rPr>
                <w:sz w:val="18"/>
                <w:szCs w:val="18"/>
              </w:rPr>
              <w:t>Zielgenauigkeit, z. B. Feldgenauigkeit ≥ X % auf digitalen PDFs / ≥ Y % auf Scans, Positions-Recall ≥ Z % — gemessen an einem annotierten Referenzset</w:t>
            </w:r>
          </w:p>
        </w:tc>
        <w:tc>
          <w:tcPr>
            <w:tcW w:w="57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C28C9C1" w14:textId="77777777" w:rsidR="004F0614" w:rsidRDefault="00000000">
            <w:pPr>
              <w:spacing w:after="60"/>
            </w:pPr>
            <w:r>
              <w:rPr>
                <w:sz w:val="18"/>
                <w:szCs w:val="18"/>
              </w:rPr>
              <w:t>Ohne messbares Ziel ist AK 3–5 nicht abnehmbar und der KI-Aufwand nicht begrenzbar</w:t>
            </w:r>
          </w:p>
        </w:tc>
      </w:tr>
    </w:tbl>
    <w:p w14:paraId="499F9FFD" w14:textId="77777777" w:rsidR="004F0614" w:rsidRDefault="00000000">
      <w:r>
        <w:br w:type="page"/>
      </w:r>
    </w:p>
    <w:p w14:paraId="0BC985DB" w14:textId="77777777" w:rsidR="004F0614" w:rsidRDefault="00000000">
      <w:pPr>
        <w:pStyle w:val="berschrift1"/>
        <w:pBdr>
          <w:bottom w:val="single" w:sz="8" w:space="4" w:color="1F3864"/>
        </w:pBdr>
        <w:spacing w:before="400" w:after="200"/>
      </w:pPr>
      <w:r>
        <w:rPr>
          <w:b/>
          <w:bCs/>
          <w:color w:val="1F3864"/>
        </w:rPr>
        <w:lastRenderedPageBreak/>
        <w:t>TEIL 2 — Technische Machbarkeit und Tech-Stack (Stand August 2026)</w:t>
      </w:r>
    </w:p>
    <w:p w14:paraId="4D20C6F9" w14:textId="77777777" w:rsidR="004F0614" w:rsidRDefault="00000000">
      <w:pPr>
        <w:pStyle w:val="berschrift2"/>
        <w:spacing w:before="320" w:after="140"/>
      </w:pPr>
      <w:r>
        <w:rPr>
          <w:b/>
          <w:bCs/>
          <w:color w:val="2E5395"/>
        </w:rPr>
        <w:t>2.1 Dokumentenerfassung (OCR/Layout) — der Prioritätsfall</w:t>
      </w:r>
    </w:p>
    <w:p w14:paraId="7D7E22EF" w14:textId="77777777" w:rsidR="004F0614" w:rsidRDefault="00000000">
      <w:pPr>
        <w:spacing w:after="160" w:line="288" w:lineRule="auto"/>
        <w:jc w:val="both"/>
      </w:pPr>
      <w:r>
        <w:t>Der Stand der Technik hat sich seit 2025 klar zu spezialisierten Dokument-VLMs verschoben: der relevante Wandel ist, dass „OCR" heute Dokumentverständnis bedeutet — Markdown, Tabellen, Layout, Extraktion und Belegstellen, nicht nur Zeichen; klassische OCR bleibt für sauberen Text konkurrenzfähig, VLM-OCR gewinnt bei Tabellenstruktur, Lesereihenfolge, schlechten Scans und Schema-Extraktion — exakt unser Anforderungsprofil.</w:t>
      </w:r>
    </w:p>
    <w:p w14:paraId="6B0F1AEA" w14:textId="77777777" w:rsidR="004F0614" w:rsidRDefault="00000000">
      <w:pPr>
        <w:spacing w:after="160" w:line="288" w:lineRule="auto"/>
        <w:jc w:val="both"/>
      </w:pPr>
      <w:r>
        <w:t>Unsere Empfehlung ist die PaddleOCR-VL-Pipeline (Apache-Lizenz, on-premise): am 29.01.2026 wurde PaddleOCR-VL-1.5 veröffentlicht und erreicht 94,5 % auf dem Benchmark OmniDocBench v1.5; das Modell unterstützt erstmals unregelmäßig geformte Bounding-Box-Lokalisierung von Dokumentelementen und ist dadurch stark bei realen Szenarien wie Scans, insbesondere bei Schräglage, Verzerrung, Beleuchtungsproblemen und Abfotografien; am 28.05.2026 folgte Version 1.6 mit 96,3 % auf OmniDocBench v1.6. Die Pipeline unterstützt 111 Sprachen, Siegel-/Stempelerkennung, Text-Spotting sowie seitenübergreifende Tabellenzusammenführung — Letzteres ist für mehrseitige Kundenstücklisten direkt relevant. Entscheidend für F08/F09: die vollständige Pipeline kombiniert Layoutanalyse und VLM-Erkennung und liefert u. a. Layout-Detektionsergebnisse mit visualisierbaren Regionen für OCR, Tabellen und Tabellenzellen — d. h. wir bekommen die Koordinaten, die der OCR-Spotting-Frame braucht, nativ mit. Bei digital erzeugten PDFs extrahieren wir Text + Koordinaten direkt (PyMuPDF), ohne OCR-Unschärfe.</w:t>
      </w:r>
    </w:p>
    <w:p w14:paraId="3D887905" w14:textId="77777777" w:rsidR="004F0614" w:rsidRDefault="00000000">
      <w:pPr>
        <w:spacing w:after="160" w:line="288" w:lineRule="auto"/>
        <w:jc w:val="both"/>
      </w:pPr>
      <w:r>
        <w:t>Alternativen mit jeweils klarem Nachteil: dots.OCR, DeepSeek-OCR, GLM-OCR und RolmOCR gehören zum offenen 2026er-Feld; auf der traditionellen Seite stehen Tesseract, PaddleOCR, EasyOCR, Surya und docTR; GLM-OCR (0,9B) führt OmniDocBench mit 94,62 an und läuft auf bescheidener Hardware, PaddleOCR-VL liegt mit 94,50 gleichauf und ist vollständig quelloffen. Wichtig als ehrlicher Vorbehalt: die Spitzenwerte kleiner offener VLMs auf OmniDocBench sind herstellerseitig gemeldet und nicht unabhängig reproduziert — und kein Benchmark enthält deutsche Druckguss-Zeichnungsköpfe. Die Modellwahl wird deshalb in der Konzeptphase an echten Schaufler-Dokumenten verifiziert, nicht am Benchmark entschieden.</w:t>
      </w:r>
    </w:p>
    <w:p w14:paraId="379791F4" w14:textId="77777777" w:rsidR="004F0614" w:rsidRDefault="00000000">
      <w:pPr>
        <w:pStyle w:val="berschrift2"/>
        <w:spacing w:before="320" w:after="140"/>
      </w:pPr>
      <w:r>
        <w:rPr>
          <w:b/>
          <w:bCs/>
          <w:color w:val="2E5395"/>
        </w:rPr>
        <w:t>2.2 Semantik: Extraktion, Normalisierung, Prompt-Steuerung</w:t>
      </w:r>
    </w:p>
    <w:p w14:paraId="4CC70F03" w14:textId="77777777" w:rsidR="004F0614" w:rsidRDefault="00000000">
      <w:pPr>
        <w:spacing w:after="160" w:line="288" w:lineRule="auto"/>
        <w:jc w:val="both"/>
      </w:pPr>
      <w:r>
        <w:t>Für die fachliche Interpretation (Attributzuordnung, Benennungsnormalisierung, später Prompt-Chat) braucht es ein lokales LLM. Empfehlung: gpt-oss-120b: OpenAIs offenes 120B-Modell mit Mixture-of-Experts-Architektur und 5,1 Mrd. aktiven Parametern bei 131k Token Kontextfenster; unter Apache 2.0 frei kommerziell nutzbar, ab Werk MXFP4-quantisiert und passt damit in eine einzelne 80-GB-GPU bei 120+ Token/s. Serving über vLLM (OpenAI-kompatible API, Guided/Structured Decoding gegen JSON-Schema — zentral gegen Halluzinationen bei der Attributextraktion); die aktuelle vLLM-V1-Engine liefert bis zu 1,7-fach höheren Durchsatz als V0, mit Prefix-Caching praktisch ohne Overhead. Alternativen mit vergleichbarer Eignung: Qwen3-Familie, Llama 3.3 70B, Mistral Small — gpt-oss, alle Qwen3-Modelle und Mistral Small stehen unter voll permissiven Lizenzen (Apache), während die Llama-4-Community-Lizenz kein OSI-anerkanntes Open Source ist; für einen Werkzeugbauer ohne eigene Legal-Kapazität sprechen wir eine klare Apache/MIT-Präferenz aus. Für das Zeichnungsverständnis in Stufe 3 (Schriftfelder, Sammelzeichnungen) kommt ergänzend ein generalistisches VLM in Frage; im offenen Feld gelten GLM-4.5V (106B MoE, 12B aktiv) und Qwen2.5-VL-72B als führend für Dokumentverständnis — Auswahl ebenfalls per PoC.</w:t>
      </w:r>
    </w:p>
    <w:p w14:paraId="0B97C9F9" w14:textId="77777777" w:rsidR="004F0614" w:rsidRDefault="00000000">
      <w:pPr>
        <w:pStyle w:val="berschrift2"/>
        <w:spacing w:before="320" w:after="140"/>
      </w:pPr>
      <w:r>
        <w:rPr>
          <w:b/>
          <w:bCs/>
          <w:color w:val="2E5395"/>
        </w:rPr>
        <w:t>2.3 Konsolidierung / Entity Resolution</w:t>
      </w:r>
    </w:p>
    <w:p w14:paraId="592C0DCD" w14:textId="77777777" w:rsidR="004F0614" w:rsidRDefault="00000000">
      <w:pPr>
        <w:spacing w:after="160" w:line="288" w:lineRule="auto"/>
        <w:jc w:val="both"/>
      </w:pPr>
      <w:r>
        <w:t>Kein Modellproblem, sondern Pipeline-Engineering: Kandidatengenerierung über normalisierte Schlüssel (Positionsnr., Hersteller-Materialnr.) + Fuzzy-Matching (rapidfuzz) + mehrsprachige Embeddings (z. B. BGE-M3, lokal, via pgvector) für Benennungsvarianten; Entscheidung regelbasiert mit Konfidenz; alles unterhalb der Schwelle wird Konflikt und geht an den Konstrukteur (Kap. 13) — das Lastenheft erlaubt uns ausdrücklich, Unsicherheit an den Menschen zu delegieren, statt sie wegzumodellieren. Stückzahlaggregation (F07) nur bei eindeutiger Zusammengehörigkeit, sonst Konflikt.</w:t>
      </w:r>
    </w:p>
    <w:p w14:paraId="0A1A6218" w14:textId="77777777" w:rsidR="004F0614" w:rsidRDefault="00000000">
      <w:pPr>
        <w:pStyle w:val="berschrift2"/>
        <w:spacing w:before="320" w:after="140"/>
      </w:pPr>
      <w:r>
        <w:rPr>
          <w:b/>
          <w:bCs/>
          <w:color w:val="2E5395"/>
        </w:rPr>
        <w:t>2.4 Regelengine (Kap. 14)</w:t>
      </w:r>
    </w:p>
    <w:p w14:paraId="3131E66C" w14:textId="77777777" w:rsidR="004F0614" w:rsidRDefault="00000000">
      <w:pPr>
        <w:spacing w:after="160" w:line="288" w:lineRule="auto"/>
        <w:jc w:val="both"/>
      </w:pPr>
      <w:r>
        <w:lastRenderedPageBreak/>
        <w:t>Empfehlung: Rules-as-Data auf Basis GoRules ZEN Engine statt Eigenbau des Evaluators: ZEN ist eine quelloffene, in Rust geschriebene Business-Rules-Engine mit nativen Bindings u. a. für Python, die JSON Decision Models (JDM) lädt und ausführt; Entscheidungstabellen werden über eine tabellenkalkulationsähnliche Struktur definiert und zeilenweise nach Hit-Policy ausgewertet, mit Sub-Millisekunden-Latenz per pip-Installation. Da Regeln als JSON-Dokumente vorliegen, lösen wir Versionierung, Rollback, parallele Regelstände und Geltungsbereiche in unserer eigenen Verwaltungsschicht (Regel = versioniertes DB-Objekt mit Scope-Attribut und Präzedenz projektspezifisch &gt; kundenspezifisch &gt; allgemein; Aktivierung nur über Promotion-Workflow mit Trockenlauf-Diff). Vorbehalt: der ZEN-Evaluationskern ist quelloffen (MIT), der visuelle Editor und die Managementplattform von GoRules sind kommerziell — den fachlichen Regel-Editor bauen wir daher selbst (schlank, auf Schaufler-Anwendungsfälle zugeschnitten), was ohnehin nötig ist, weil die GoRules-Oberfläche das Geltungsbereichs- und Promotion-Konzept nicht kennt. Drools wäre die Enterprise-Alternative, bringt aber JVM-Schwergewicht und Autorierungskomplexität, die zur Ein-Rollen-Welt von Schaufler nicht passt.</w:t>
      </w:r>
    </w:p>
    <w:p w14:paraId="62617D72" w14:textId="77777777" w:rsidR="004F0614" w:rsidRDefault="00000000">
      <w:pPr>
        <w:pStyle w:val="berschrift2"/>
        <w:spacing w:before="320" w:after="140"/>
      </w:pPr>
      <w:r>
        <w:rPr>
          <w:b/>
          <w:bCs/>
          <w:color w:val="2E5395"/>
        </w:rPr>
        <w:t>2.5 Backend, Datenmodell, Audit</w:t>
      </w:r>
    </w:p>
    <w:p w14:paraId="511671CE" w14:textId="77777777" w:rsidR="004F0614" w:rsidRDefault="00000000">
      <w:pPr>
        <w:spacing w:after="160" w:line="288" w:lineRule="auto"/>
        <w:jc w:val="both"/>
      </w:pPr>
      <w:r>
        <w:t>Python 3.12 / FastAPI (nahtlos zur ML-Pipeline), PostgreSQL 17 mit JSONB (flexible Attributmengen, F20/Kap. 12) und pgvector. Provenienz als First-Class-Konzept: jeder Attributwert trägt Referenzen (Dokument-Hash, Seite, Bounding Box, erzeugende Regel-/Modellversion, Entscheidungstyp automatisch/KI/manuell — exakt die Differenzierung aus Kap. 10.1). Audit als Append-only-Event-Log; Zustände jederzeit rekonstruierbar (Kap. 17). Dokumenten-Cache mit Content-Hashing gegen die Netzlaufwerk-Volatilität (s. Teil 1, Kap. 7).</w:t>
      </w:r>
    </w:p>
    <w:p w14:paraId="6518BB2F" w14:textId="77777777" w:rsidR="004F0614" w:rsidRDefault="00000000">
      <w:pPr>
        <w:pStyle w:val="berschrift2"/>
        <w:spacing w:before="320" w:after="140"/>
      </w:pPr>
      <w:r>
        <w:rPr>
          <w:b/>
          <w:bCs/>
          <w:color w:val="2E5395"/>
        </w:rPr>
        <w:t>2.6 Desktop-Client</w:t>
      </w:r>
    </w:p>
    <w:p w14:paraId="00D1E1A1" w14:textId="77777777" w:rsidR="004F0614" w:rsidRDefault="00000000">
      <w:pPr>
        <w:spacing w:after="160" w:line="288" w:lineRule="auto"/>
        <w:jc w:val="both"/>
      </w:pPr>
      <w:r>
        <w:t>Die Anforderungen aus Kap. 10 (An-/Ausdocken, eigene Fenster, Multi-Monitor, Perspektiven) sind ein gelöstes Problem — aber nur in wenigen Frameworks wirklich reif. Empfehlung: Qt 6 (PySide6) + Qt Advanced Docking System (ADS): ADS erlaubt Andocken an jeder Fensterkante und in jede Dock-Area, behandelt Haupt- und Floating-Fenster gleichwertig inklusive Docken in schwebende Fenster, unterstützt benannte Perspektiven zum schnellen Umschalten kompletter Layouts — und wird seit Version 4.12 vom Qt Creator selbst für den Qt Quick Designer eingesetzt, ausdrücklich zur besseren Nutzbarkeit mit mehreren Bildschirmen. Das deckt Kap. 10.3 („Eindocken, Ausdocken, ein/zwei/Widescreen-Bildschirme") ohne Eigenentwicklung ab. Alternativen: WPF + AvalonDock (nur Windows, .NET-Stack-Bruch zur Python-Pipeline), Avalonia (Docking-Ökosystem weniger reif), Electron (Multi-Fenster-Docking schwach, hoher Ressourcenbedarf — passt schlecht zu „Direkte Arbeitsfähigkeit im Alltag"). Die Logikgatter-Visualisierung (Stufe 3) setzen wir als Node-Graph auf QGraphicsView/NodeGraphQt um.</w:t>
      </w:r>
    </w:p>
    <w:p w14:paraId="0EC99204" w14:textId="77777777" w:rsidR="004F0614" w:rsidRDefault="00000000">
      <w:pPr>
        <w:pStyle w:val="berschrift2"/>
        <w:spacing w:before="320" w:after="140"/>
      </w:pPr>
      <w:r>
        <w:rPr>
          <w:b/>
          <w:bCs/>
          <w:color w:val="2E5395"/>
        </w:rPr>
        <w:t>2.7 Excel-Export (F20, Kap. 16)</w:t>
      </w:r>
    </w:p>
    <w:p w14:paraId="65F36397" w14:textId="77777777" w:rsidR="004F0614" w:rsidRDefault="00000000">
      <w:pPr>
        <w:spacing w:after="160" w:line="288" w:lineRule="auto"/>
        <w:jc w:val="both"/>
      </w:pPr>
      <w:r>
        <w:t>openpyxl gegen die Original-Vorlagendatei (Strukturtreue by design: wir schreiben in die Vorlage, statt sie nachzubauen). Vorlagen werden versioniert registriert; bei neuer Vorlage: automatische Header-Introspektion → Mapping-Vorschlag (Fuzzy + LLM) → verpflichtende Bestätigung durch den Konstrukteur → gespeichertes, versioniertes Mapping. „Selbständig" interpretieren wir als „ohne Programmieraufwand", nicht als „ohne Bestätigung" — abzustimmen.</w:t>
      </w:r>
    </w:p>
    <w:p w14:paraId="45408FC7" w14:textId="77777777" w:rsidR="004F0614" w:rsidRDefault="00000000">
      <w:pPr>
        <w:pStyle w:val="berschrift2"/>
        <w:spacing w:before="320" w:after="140"/>
      </w:pPr>
      <w:r>
        <w:rPr>
          <w:b/>
          <w:bCs/>
          <w:color w:val="2E5395"/>
        </w:rPr>
        <w:t>2.8 Hardware-Vergleich On-Premise</w:t>
      </w:r>
    </w:p>
    <w:p w14:paraId="58D8A773" w14:textId="77777777" w:rsidR="004F0614" w:rsidRDefault="00000000">
      <w:pPr>
        <w:spacing w:after="160" w:line="288" w:lineRule="auto"/>
        <w:jc w:val="both"/>
      </w:pPr>
      <w:r>
        <w:rPr>
          <w:b/>
          <w:bCs/>
        </w:rPr>
        <w:t xml:space="preserve">DGX Spark (PoC/Entwicklung): </w:t>
      </w:r>
      <w:r>
        <w:t>GB10 Grace Blackwell, 1.000 KI-TOPS, 128 GB LPDDR5x Unified Memory, aber nur 256-bit-Interface mit 273 GB/s Speicherbandbreite, 4 TB NVMe, 170 W; Founders Edition ab 3.999 USD (Okt. 2025), zwei Geräte lassen sich über ConnectX-7 zu 256 GB koppeln — in Deutschland wurde der FE-Preis zuletzt auf 4.800 € angehoben; OEM-Varianten (ASUS, Dell, Lenovo, Gigabyte) unterscheiden sich nur in Gehäuse/Kühlung. Ehrliche Einordnung: die 273 GB/s limitieren das Decoding dichter Großmodelle; der Sweet Spot sind MoE-Modelle wie GPT-OSS und Qwen3, Batch-Inferenz und Fine-Tuning — NVIDIAs CES-2026-Update beschleunigte Schlüssel-Workloads zudem um bis zu 2,5×, sodass Launch-Tests vom Oktober 2025 den heutigen Stand unterschätzen. Für Entwicklung und den Konzeptphasen-PoC (1–2 Nutzer, Batch-Verarbeitung) ist der Spark preislich und formfaktorisch ideal — für 5–15 interaktive Nutzer ist er es nicht.</w:t>
      </w:r>
    </w:p>
    <w:p w14:paraId="0A9CBEAC" w14:textId="77777777" w:rsidR="004F0614" w:rsidRDefault="00000000">
      <w:pPr>
        <w:spacing w:after="160" w:line="288" w:lineRule="auto"/>
        <w:jc w:val="both"/>
      </w:pPr>
      <w:r>
        <w:rPr>
          <w:b/>
          <w:bCs/>
        </w:rPr>
        <w:t xml:space="preserve">RTX PRO 6000 Blackwell (Produktivbetrieb): </w:t>
      </w:r>
      <w:r>
        <w:t xml:space="preserve">gleicher GB202-Vollausbau wie die Workstation-Edition (24.064 CUDA-Kerne, 752 Tensor-Kerne der 5. Generation), 96 GB GDDR7 ECC an 512 bit; die Server Edition liefert 1.597 GB/s Speicherbandbreite </w:t>
      </w:r>
      <w:r>
        <w:lastRenderedPageBreak/>
        <w:t>(Workstation: 1.792 GB/s), 120 TFLOPS FP32 und 4 PFLOPS FP4, passiv gekühlt für 1U/2U-Racks — also rund 6× die Bandbreite des Spark, was bei interaktiver Mehrnutzer-Inferenz direkt in Token-Durchsatz übersetzt. Preislage uneinheitlich, das benennen wir explizit: deutsche Listungen der Workstation-Edition beginnen bei ca. 12.549 € inkl. MwSt., während für die Server Edition international Listenpreise ab ca. 16.334 USD getrackt werden und Graumarkt-Angebote um 10.300 USD kursieren — belastbare Beschaffungspreise holen wir in der Konzeptphase per Distributor-Angebot ein.</w:t>
      </w:r>
    </w:p>
    <w:p w14:paraId="3A4B826F" w14:textId="77777777" w:rsidR="004F0614" w:rsidRDefault="00000000">
      <w:pPr>
        <w:spacing w:after="160" w:line="288" w:lineRule="auto"/>
        <w:jc w:val="both"/>
      </w:pPr>
      <w:r>
        <w:rPr>
          <w:b/>
          <w:bCs/>
        </w:rPr>
        <w:t xml:space="preserve">Sizing-Empfehlung: </w:t>
      </w:r>
      <w:r>
        <w:t>Stufe 1–2: 1× RTX PRO 6000 (96 GB) genügt — gpt-oss-120b passt MXFP4-quantisiert komfortabel in 80 GB, PaddleOCR-VL-1.6 ist mit 0,9B Parametern vernachlässigbar; die Last ist überwiegend Batch (Dokumentingestion) plus sporadische interaktive Anfragen. Stufe 3 (Prompt-Chat + Zeichnungs-VLM parallel): 2× RTX PRO 6000 (192 GB) für Lastisolation. H100/H200 wären Overkill (Preis, Verfügbarkeit), L40S (48 GB) zu knapp für das 120B-Modell. Für den Chassis-Punkt gilt: die Server Edition braucht ein Servergehäuse mit Durchzugskühlung — Abstimmung mit Schauflers IT (Serverraum? Sonst Workstation-Edition im Tower).</w:t>
      </w:r>
    </w:p>
    <w:p w14:paraId="7DD7ADC5" w14:textId="77777777" w:rsidR="004F0614" w:rsidRDefault="00000000">
      <w:pPr>
        <w:pStyle w:val="berschrift2"/>
        <w:spacing w:before="320" w:after="140"/>
      </w:pPr>
      <w:r>
        <w:rPr>
          <w:b/>
          <w:bCs/>
          <w:color w:val="2E5395"/>
        </w:rPr>
        <w:t>2.9 Tech-Stack-Tabelle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059"/>
        <w:gridCol w:w="2089"/>
        <w:gridCol w:w="2725"/>
        <w:gridCol w:w="2065"/>
      </w:tblGrid>
      <w:tr w:rsidR="004F0614" w14:paraId="7CA6C0EA"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32496A" w14:textId="77777777" w:rsidR="004F0614" w:rsidRDefault="00000000">
            <w:pPr>
              <w:spacing w:after="60"/>
            </w:pPr>
            <w:r>
              <w:rPr>
                <w:b/>
                <w:bCs/>
                <w:color w:val="FFFFFF"/>
                <w:sz w:val="18"/>
                <w:szCs w:val="18"/>
              </w:rPr>
              <w:t>Komponente</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2374218" w14:textId="77777777" w:rsidR="004F0614" w:rsidRDefault="00000000">
            <w:pPr>
              <w:spacing w:after="60"/>
            </w:pPr>
            <w:r>
              <w:rPr>
                <w:b/>
                <w:bCs/>
                <w:color w:val="FFFFFF"/>
                <w:sz w:val="18"/>
                <w:szCs w:val="18"/>
              </w:rPr>
              <w:t>Gewählt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CEF83B5" w14:textId="77777777" w:rsidR="004F0614" w:rsidRDefault="00000000">
            <w:pPr>
              <w:spacing w:after="60"/>
            </w:pPr>
            <w:r>
              <w:rPr>
                <w:b/>
                <w:bCs/>
                <w:color w:val="FFFFFF"/>
                <w:sz w:val="18"/>
                <w:szCs w:val="18"/>
              </w:rPr>
              <w:t>Alternativen</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B9CB3AA" w14:textId="77777777" w:rsidR="004F0614" w:rsidRDefault="00000000">
            <w:pPr>
              <w:spacing w:after="60"/>
            </w:pPr>
            <w:r>
              <w:rPr>
                <w:b/>
                <w:bCs/>
                <w:color w:val="FFFFFF"/>
                <w:sz w:val="18"/>
                <w:szCs w:val="18"/>
              </w:rPr>
              <w:t>Begründung</w:t>
            </w:r>
          </w:p>
        </w:tc>
        <w:tc>
          <w:tcPr>
            <w:tcW w:w="15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5A52C72" w14:textId="77777777" w:rsidR="004F0614" w:rsidRDefault="00000000">
            <w:pPr>
              <w:spacing w:after="60"/>
            </w:pPr>
            <w:r>
              <w:rPr>
                <w:b/>
                <w:bCs/>
                <w:color w:val="FFFFFF"/>
                <w:sz w:val="18"/>
                <w:szCs w:val="18"/>
              </w:rPr>
              <w:t>Risiko</w:t>
            </w:r>
          </w:p>
        </w:tc>
      </w:tr>
      <w:tr w:rsidR="004F0614" w14:paraId="5DDE91B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43D75B" w14:textId="77777777" w:rsidR="004F0614" w:rsidRDefault="00000000">
            <w:pPr>
              <w:spacing w:after="60"/>
            </w:pPr>
            <w:r>
              <w:rPr>
                <w:sz w:val="18"/>
                <w:szCs w:val="18"/>
              </w:rPr>
              <w:t>PDF digital</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9A98BC2" w14:textId="77777777" w:rsidR="004F0614" w:rsidRDefault="00000000">
            <w:pPr>
              <w:spacing w:after="60"/>
            </w:pPr>
            <w:r>
              <w:rPr>
                <w:sz w:val="18"/>
                <w:szCs w:val="18"/>
              </w:rPr>
              <w:t>PyMuPDF (Text + Koordinaten)</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863792D" w14:textId="77777777" w:rsidR="004F0614" w:rsidRDefault="00000000">
            <w:pPr>
              <w:spacing w:after="60"/>
            </w:pPr>
            <w:r>
              <w:rPr>
                <w:sz w:val="18"/>
                <w:szCs w:val="18"/>
              </w:rPr>
              <w:t>pdfplumber, Docling</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B2C9C2B" w14:textId="77777777" w:rsidR="004F0614" w:rsidRDefault="00000000">
            <w:pPr>
              <w:spacing w:after="60"/>
            </w:pPr>
            <w:r>
              <w:rPr>
                <w:sz w:val="18"/>
                <w:szCs w:val="18"/>
              </w:rPr>
              <w:t>Verlustfrei, Koordinaten für Spotting-Frame</w:t>
            </w:r>
          </w:p>
        </w:tc>
        <w:tc>
          <w:tcPr>
            <w:tcW w:w="15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970223E" w14:textId="77777777" w:rsidR="004F0614" w:rsidRDefault="00000000">
            <w:pPr>
              <w:spacing w:after="60"/>
            </w:pPr>
            <w:r>
              <w:rPr>
                <w:sz w:val="18"/>
                <w:szCs w:val="18"/>
              </w:rPr>
              <w:t>gering</w:t>
            </w:r>
          </w:p>
        </w:tc>
      </w:tr>
      <w:tr w:rsidR="004F0614" w14:paraId="32D9DA1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E88262B" w14:textId="77777777" w:rsidR="004F0614" w:rsidRDefault="00000000">
            <w:pPr>
              <w:spacing w:after="60"/>
            </w:pPr>
            <w:r>
              <w:rPr>
                <w:sz w:val="18"/>
                <w:szCs w:val="18"/>
              </w:rPr>
              <w:t>OCR/Layout Scans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82D048F" w14:textId="77777777" w:rsidR="004F0614" w:rsidRDefault="00000000">
            <w:pPr>
              <w:spacing w:after="60"/>
            </w:pPr>
            <w:r>
              <w:rPr>
                <w:sz w:val="18"/>
                <w:szCs w:val="18"/>
              </w:rPr>
              <w:t>PaddleOCR-VL 1.5/1.6-Pipeline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214999F" w14:textId="77777777" w:rsidR="004F0614" w:rsidRDefault="00000000">
            <w:pPr>
              <w:spacing w:after="60"/>
            </w:pPr>
            <w:r>
              <w:rPr>
                <w:sz w:val="18"/>
                <w:szCs w:val="18"/>
              </w:rPr>
              <w:t>GLM-OCR, dots.ocr, olmOCR 2, MinerU; Tesseract-Fallback</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B564107" w14:textId="77777777" w:rsidR="004F0614" w:rsidRDefault="00000000">
            <w:pPr>
              <w:spacing w:after="60"/>
            </w:pPr>
            <w:r>
              <w:rPr>
                <w:sz w:val="18"/>
                <w:szCs w:val="18"/>
              </w:rPr>
              <w:t>SOTA-Genauigkeit, Bounding Boxes/Zellkoordinaten nativ, 111 Sprachen, Apache, klein</w:t>
            </w:r>
          </w:p>
        </w:tc>
        <w:tc>
          <w:tcPr>
            <w:tcW w:w="15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7098256" w14:textId="77777777" w:rsidR="004F0614" w:rsidRDefault="00000000">
            <w:pPr>
              <w:spacing w:after="60"/>
            </w:pPr>
            <w:r>
              <w:rPr>
                <w:sz w:val="18"/>
                <w:szCs w:val="18"/>
              </w:rPr>
              <w:t>Benchmarks herstellergemeldet; Domäne „technische Zeichnung DE" ungetestet → PoC</w:t>
            </w:r>
          </w:p>
        </w:tc>
      </w:tr>
      <w:tr w:rsidR="004F0614" w14:paraId="4567BD8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A904459" w14:textId="77777777" w:rsidR="004F0614" w:rsidRDefault="00000000">
            <w:pPr>
              <w:spacing w:after="60"/>
            </w:pPr>
            <w:r>
              <w:rPr>
                <w:sz w:val="18"/>
                <w:szCs w:val="18"/>
              </w:rPr>
              <w:t>Extraktions-LLM</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9AF9AD" w14:textId="77777777" w:rsidR="004F0614" w:rsidRDefault="00000000">
            <w:pPr>
              <w:spacing w:after="60"/>
            </w:pPr>
            <w:r>
              <w:rPr>
                <w:sz w:val="18"/>
                <w:szCs w:val="18"/>
              </w:rPr>
              <w:t>gpt-oss-120b @ vLLM, JSON-Schema-Decoding</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369388A" w14:textId="77777777" w:rsidR="004F0614" w:rsidRDefault="00000000">
            <w:pPr>
              <w:spacing w:after="60"/>
            </w:pPr>
            <w:r>
              <w:rPr>
                <w:sz w:val="18"/>
                <w:szCs w:val="18"/>
              </w:rPr>
              <w:t>Qwen3, Llama 3.3 70B, Mistral</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6AAE60B" w14:textId="77777777" w:rsidR="004F0614" w:rsidRDefault="00000000">
            <w:pPr>
              <w:spacing w:after="60"/>
            </w:pPr>
            <w:r>
              <w:rPr>
                <w:sz w:val="18"/>
                <w:szCs w:val="18"/>
              </w:rPr>
              <w:t>Apache 2.0, 1-GPU-fähig, starkes Reasoning</w:t>
            </w:r>
          </w:p>
        </w:tc>
        <w:tc>
          <w:tcPr>
            <w:tcW w:w="15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547FAA7" w14:textId="77777777" w:rsidR="004F0614" w:rsidRDefault="00000000">
            <w:pPr>
              <w:spacing w:after="60"/>
            </w:pPr>
            <w:r>
              <w:rPr>
                <w:sz w:val="18"/>
                <w:szCs w:val="18"/>
              </w:rPr>
              <w:t>Halluzination bei Freitextfeldern → Grounding-Pflicht (nur belegbare Werte)</w:t>
            </w:r>
          </w:p>
        </w:tc>
      </w:tr>
      <w:tr w:rsidR="004F0614" w14:paraId="24B7D78A"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7DE83E3" w14:textId="77777777" w:rsidR="004F0614" w:rsidRDefault="00000000">
            <w:pPr>
              <w:spacing w:after="60"/>
            </w:pPr>
            <w:r>
              <w:rPr>
                <w:sz w:val="18"/>
                <w:szCs w:val="18"/>
              </w:rPr>
              <w:t>Zeichnungs-VLM (Stufe 3)</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E767CDE" w14:textId="77777777" w:rsidR="004F0614" w:rsidRDefault="00000000">
            <w:pPr>
              <w:spacing w:after="60"/>
            </w:pPr>
            <w:r>
              <w:rPr>
                <w:sz w:val="18"/>
                <w:szCs w:val="18"/>
              </w:rPr>
              <w:t>Auswahl per PoC (GLM-4.5V / Qwen-VL)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2A155F2" w14:textId="77777777" w:rsidR="004F0614" w:rsidRDefault="00000000">
            <w:pPr>
              <w:spacing w:after="60"/>
            </w:pPr>
            <w:r>
              <w:rPr>
                <w:sz w:val="18"/>
                <w:szCs w:val="18"/>
              </w:rPr>
              <w:t>—</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26B0427" w14:textId="77777777" w:rsidR="004F0614" w:rsidRDefault="00000000">
            <w:pPr>
              <w:spacing w:after="60"/>
            </w:pPr>
            <w:r>
              <w:rPr>
                <w:sz w:val="18"/>
                <w:szCs w:val="18"/>
              </w:rPr>
              <w:t>Schriftfeld-Varianz hoch</w:t>
            </w:r>
          </w:p>
        </w:tc>
        <w:tc>
          <w:tcPr>
            <w:tcW w:w="15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2E8AFA7A" w14:textId="77777777" w:rsidR="004F0614" w:rsidRDefault="00000000">
            <w:pPr>
              <w:spacing w:after="60"/>
            </w:pPr>
            <w:r>
              <w:rPr>
                <w:sz w:val="18"/>
                <w:szCs w:val="18"/>
              </w:rPr>
              <w:t>mittel-hoch</w:t>
            </w:r>
          </w:p>
        </w:tc>
      </w:tr>
      <w:tr w:rsidR="004F0614" w14:paraId="14818C4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BD48BF8" w14:textId="77777777" w:rsidR="004F0614" w:rsidRDefault="00000000">
            <w:pPr>
              <w:spacing w:after="60"/>
            </w:pPr>
            <w:r>
              <w:rPr>
                <w:sz w:val="18"/>
                <w:szCs w:val="18"/>
              </w:rPr>
              <w:t>Entity Resolution</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0A83D4" w14:textId="77777777" w:rsidR="004F0614" w:rsidRDefault="00000000">
            <w:pPr>
              <w:spacing w:after="60"/>
            </w:pPr>
            <w:r>
              <w:rPr>
                <w:sz w:val="18"/>
                <w:szCs w:val="18"/>
              </w:rPr>
              <w:t>Regeln + rapidfuzz + BGE-M3/pgvector</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705AF3" w14:textId="77777777" w:rsidR="004F0614" w:rsidRDefault="00000000">
            <w:pPr>
              <w:spacing w:after="60"/>
            </w:pPr>
            <w:r>
              <w:rPr>
                <w:sz w:val="18"/>
                <w:szCs w:val="18"/>
              </w:rPr>
              <w:t>splink, dedupe</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B5DC437" w14:textId="77777777" w:rsidR="004F0614" w:rsidRDefault="00000000">
            <w:pPr>
              <w:spacing w:after="60"/>
            </w:pPr>
            <w:r>
              <w:rPr>
                <w:sz w:val="18"/>
                <w:szCs w:val="18"/>
              </w:rPr>
              <w:t>Erklärbar, konfliktfähig</w:t>
            </w:r>
          </w:p>
        </w:tc>
        <w:tc>
          <w:tcPr>
            <w:tcW w:w="15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3D44B4" w14:textId="77777777" w:rsidR="004F0614" w:rsidRDefault="00000000">
            <w:pPr>
              <w:spacing w:after="60"/>
            </w:pPr>
            <w:r>
              <w:rPr>
                <w:sz w:val="18"/>
                <w:szCs w:val="18"/>
              </w:rPr>
              <w:t>Qualität abhängig vom Dictionary</w:t>
            </w:r>
          </w:p>
        </w:tc>
      </w:tr>
      <w:tr w:rsidR="004F0614" w14:paraId="54B4E13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8EE4B71" w14:textId="77777777" w:rsidR="004F0614" w:rsidRDefault="00000000">
            <w:pPr>
              <w:spacing w:after="60"/>
            </w:pPr>
            <w:r>
              <w:rPr>
                <w:sz w:val="18"/>
                <w:szCs w:val="18"/>
              </w:rPr>
              <w:t>Regelengine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8D0FFDF" w14:textId="77777777" w:rsidR="004F0614" w:rsidRDefault="00000000">
            <w:pPr>
              <w:spacing w:after="60"/>
            </w:pPr>
            <w:r>
              <w:rPr>
                <w:sz w:val="18"/>
                <w:szCs w:val="18"/>
              </w:rPr>
              <w:t>GoRules ZEN (MIT) + eigene Verwaltungs-/Scope-Schicht</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4F4F557" w14:textId="77777777" w:rsidR="004F0614" w:rsidRDefault="00000000">
            <w:pPr>
              <w:spacing w:after="60"/>
            </w:pPr>
            <w:r>
              <w:rPr>
                <w:sz w:val="18"/>
                <w:szCs w:val="18"/>
              </w:rPr>
              <w:t>Drools, Eigenbau</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474D0AA" w14:textId="77777777" w:rsidR="004F0614" w:rsidRDefault="00000000">
            <w:pPr>
              <w:spacing w:after="60"/>
            </w:pPr>
            <w:r>
              <w:rPr>
                <w:sz w:val="18"/>
                <w:szCs w:val="18"/>
              </w:rPr>
              <w:t>Rust-Kern, Rules-as-JSON = versionierbar</w:t>
            </w:r>
          </w:p>
        </w:tc>
        <w:tc>
          <w:tcPr>
            <w:tcW w:w="15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075DD3A" w14:textId="77777777" w:rsidR="004F0614" w:rsidRDefault="00000000">
            <w:pPr>
              <w:spacing w:after="60"/>
            </w:pPr>
            <w:r>
              <w:rPr>
                <w:sz w:val="18"/>
                <w:szCs w:val="18"/>
              </w:rPr>
              <w:t>Editor Eigenbau nötig (GoRules-UI kommerziell)</w:t>
            </w:r>
          </w:p>
        </w:tc>
      </w:tr>
      <w:tr w:rsidR="004F0614" w14:paraId="3623A57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A320C4C" w14:textId="77777777" w:rsidR="004F0614" w:rsidRDefault="00000000">
            <w:pPr>
              <w:spacing w:after="60"/>
            </w:pPr>
            <w:r>
              <w:rPr>
                <w:sz w:val="18"/>
                <w:szCs w:val="18"/>
              </w:rPr>
              <w:t>Backend/DB</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D0E945B" w14:textId="77777777" w:rsidR="004F0614" w:rsidRDefault="00000000">
            <w:pPr>
              <w:spacing w:after="60"/>
            </w:pPr>
            <w:r>
              <w:rPr>
                <w:sz w:val="18"/>
                <w:szCs w:val="18"/>
              </w:rPr>
              <w:t>FastAPI + PostgreSQL 17 (JSONB, pgvector), Event-Log</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35E2B3F" w14:textId="77777777" w:rsidR="004F0614" w:rsidRDefault="00000000">
            <w:pPr>
              <w:spacing w:after="60"/>
            </w:pPr>
            <w:r>
              <w:rPr>
                <w:sz w:val="18"/>
                <w:szCs w:val="18"/>
              </w:rPr>
              <w:t>.NET</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EADCE99" w14:textId="77777777" w:rsidR="004F0614" w:rsidRDefault="00000000">
            <w:pPr>
              <w:spacing w:after="60"/>
            </w:pPr>
            <w:r>
              <w:rPr>
                <w:sz w:val="18"/>
                <w:szCs w:val="18"/>
              </w:rPr>
              <w:t>ML-Nähe, flexibles Attributschema, Audit</w:t>
            </w:r>
          </w:p>
        </w:tc>
        <w:tc>
          <w:tcPr>
            <w:tcW w:w="15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CDBC510" w14:textId="77777777" w:rsidR="004F0614" w:rsidRDefault="00000000">
            <w:pPr>
              <w:spacing w:after="60"/>
            </w:pPr>
            <w:r>
              <w:rPr>
                <w:sz w:val="18"/>
                <w:szCs w:val="18"/>
              </w:rPr>
              <w:t>gering</w:t>
            </w:r>
          </w:p>
        </w:tc>
      </w:tr>
      <w:tr w:rsidR="004F0614" w14:paraId="1AECBF9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090B2D6" w14:textId="77777777" w:rsidR="004F0614" w:rsidRDefault="00000000">
            <w:pPr>
              <w:spacing w:after="60"/>
            </w:pPr>
            <w:r>
              <w:rPr>
                <w:sz w:val="18"/>
                <w:szCs w:val="18"/>
              </w:rPr>
              <w:t>Desktop</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A2969FA" w14:textId="77777777" w:rsidR="004F0614" w:rsidRDefault="00000000">
            <w:pPr>
              <w:spacing w:after="60"/>
            </w:pPr>
            <w:r>
              <w:rPr>
                <w:sz w:val="18"/>
                <w:szCs w:val="18"/>
              </w:rPr>
              <w:t>Qt 6 / PySide6 + Qt ADS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1D35212" w14:textId="77777777" w:rsidR="004F0614" w:rsidRDefault="00000000">
            <w:pPr>
              <w:spacing w:after="60"/>
            </w:pPr>
            <w:r>
              <w:rPr>
                <w:sz w:val="18"/>
                <w:szCs w:val="18"/>
              </w:rPr>
              <w:t>WPF+AvalonDock, Avalonia, Electron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300437F" w14:textId="77777777" w:rsidR="004F0614" w:rsidRDefault="00000000">
            <w:pPr>
              <w:spacing w:after="60"/>
            </w:pPr>
            <w:r>
              <w:rPr>
                <w:sz w:val="18"/>
                <w:szCs w:val="18"/>
              </w:rPr>
              <w:t>Docking/Multi-Monitor/Perspektiven produktionsreif</w:t>
            </w:r>
          </w:p>
        </w:tc>
        <w:tc>
          <w:tcPr>
            <w:tcW w:w="15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C2A3981" w14:textId="77777777" w:rsidR="004F0614" w:rsidRDefault="00000000">
            <w:pPr>
              <w:spacing w:after="60"/>
            </w:pPr>
            <w:r>
              <w:rPr>
                <w:sz w:val="18"/>
                <w:szCs w:val="18"/>
              </w:rPr>
              <w:t>Qt-Lizenz (LGPL-Compliance) beachten</w:t>
            </w:r>
          </w:p>
        </w:tc>
      </w:tr>
      <w:tr w:rsidR="004F0614" w14:paraId="4569BA60"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77EC067" w14:textId="77777777" w:rsidR="004F0614" w:rsidRDefault="00000000">
            <w:pPr>
              <w:spacing w:after="60"/>
            </w:pPr>
            <w:r>
              <w:rPr>
                <w:sz w:val="18"/>
                <w:szCs w:val="18"/>
              </w:rPr>
              <w:t>Excel</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4A7D9E8" w14:textId="77777777" w:rsidR="004F0614" w:rsidRDefault="00000000">
            <w:pPr>
              <w:spacing w:after="60"/>
            </w:pPr>
            <w:r>
              <w:rPr>
                <w:sz w:val="18"/>
                <w:szCs w:val="18"/>
              </w:rPr>
              <w:t>openpyxl in Originalvorlage; versioniertes Mapping</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65F4C62" w14:textId="77777777" w:rsidR="004F0614" w:rsidRDefault="00000000">
            <w:pPr>
              <w:spacing w:after="60"/>
            </w:pPr>
            <w:r>
              <w:rPr>
                <w:sz w:val="18"/>
                <w:szCs w:val="18"/>
              </w:rPr>
              <w:t>ClosedXML</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10220CC" w14:textId="77777777" w:rsidR="004F0614" w:rsidRDefault="00000000">
            <w:pPr>
              <w:spacing w:after="60"/>
            </w:pPr>
            <w:r>
              <w:rPr>
                <w:sz w:val="18"/>
                <w:szCs w:val="18"/>
              </w:rPr>
              <w:t>Strukturtreue by design</w:t>
            </w:r>
          </w:p>
        </w:tc>
        <w:tc>
          <w:tcPr>
            <w:tcW w:w="15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9B0F9BD" w14:textId="77777777" w:rsidR="004F0614" w:rsidRDefault="00000000">
            <w:pPr>
              <w:spacing w:after="60"/>
            </w:pPr>
            <w:r>
              <w:rPr>
                <w:sz w:val="18"/>
                <w:szCs w:val="18"/>
              </w:rPr>
              <w:t>Vorlagen-Governance beim Kunden offen</w:t>
            </w:r>
          </w:p>
        </w:tc>
      </w:tr>
      <w:tr w:rsidR="004F0614" w14:paraId="4CC50106"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41FD23D" w14:textId="77777777" w:rsidR="004F0614" w:rsidRDefault="00000000">
            <w:pPr>
              <w:spacing w:after="60"/>
            </w:pPr>
            <w:r>
              <w:rPr>
                <w:sz w:val="18"/>
                <w:szCs w:val="18"/>
              </w:rPr>
              <w:t>Serving</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3D12E13" w14:textId="77777777" w:rsidR="004F0614" w:rsidRDefault="00000000">
            <w:pPr>
              <w:spacing w:after="60"/>
            </w:pPr>
            <w:r>
              <w:rPr>
                <w:sz w:val="18"/>
                <w:szCs w:val="18"/>
              </w:rPr>
              <w:t>vLLM V1</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AE1666C" w14:textId="77777777" w:rsidR="004F0614" w:rsidRDefault="00000000">
            <w:pPr>
              <w:spacing w:after="60"/>
            </w:pPr>
            <w:r>
              <w:rPr>
                <w:sz w:val="18"/>
                <w:szCs w:val="18"/>
              </w:rPr>
              <w:t>SGLang, NIM, Ollama</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422F6B4" w14:textId="77777777" w:rsidR="004F0614" w:rsidRDefault="00000000">
            <w:pPr>
              <w:spacing w:after="60"/>
            </w:pPr>
            <w:r>
              <w:rPr>
                <w:sz w:val="18"/>
                <w:szCs w:val="18"/>
              </w:rPr>
              <w:t>Durchsatz, OpenAI-API, Guided Decoding</w:t>
            </w:r>
          </w:p>
        </w:tc>
        <w:tc>
          <w:tcPr>
            <w:tcW w:w="15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C5F3D71" w14:textId="77777777" w:rsidR="004F0614" w:rsidRDefault="00000000">
            <w:pPr>
              <w:spacing w:after="60"/>
            </w:pPr>
            <w:r>
              <w:rPr>
                <w:sz w:val="18"/>
                <w:szCs w:val="18"/>
              </w:rPr>
              <w:t>gering</w:t>
            </w:r>
          </w:p>
        </w:tc>
      </w:tr>
      <w:tr w:rsidR="004F0614" w14:paraId="296B86B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C52F60" w14:textId="77777777" w:rsidR="004F0614" w:rsidRDefault="00000000">
            <w:pPr>
              <w:spacing w:after="60"/>
            </w:pPr>
            <w:r>
              <w:rPr>
                <w:sz w:val="18"/>
                <w:szCs w:val="18"/>
              </w:rPr>
              <w:t>HW PoC</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3B75ACD" w14:textId="77777777" w:rsidR="004F0614" w:rsidRDefault="00000000">
            <w:pPr>
              <w:spacing w:after="60"/>
            </w:pPr>
            <w:r>
              <w:rPr>
                <w:sz w:val="18"/>
                <w:szCs w:val="18"/>
              </w:rPr>
              <w:t>DGX Spark (128 GB, ~4,3–4,8 k€)</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235E03" w14:textId="77777777" w:rsidR="004F0614" w:rsidRDefault="00000000">
            <w:pPr>
              <w:spacing w:after="60"/>
            </w:pPr>
            <w:r>
              <w:rPr>
                <w:sz w:val="18"/>
                <w:szCs w:val="18"/>
              </w:rPr>
              <w:t>Workstation + RTX PRO 6000 WS</w:t>
            </w:r>
          </w:p>
        </w:tc>
        <w:tc>
          <w:tcPr>
            <w:tcW w:w="29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3DA7660" w14:textId="77777777" w:rsidR="004F0614" w:rsidRDefault="00000000">
            <w:pPr>
              <w:spacing w:after="60"/>
            </w:pPr>
            <w:r>
              <w:rPr>
                <w:sz w:val="18"/>
                <w:szCs w:val="18"/>
              </w:rPr>
              <w:t>Preis, Unified Memory, CUDA-identisch zur Zielumgebung</w:t>
            </w:r>
          </w:p>
        </w:tc>
        <w:tc>
          <w:tcPr>
            <w:tcW w:w="15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EFC202E" w14:textId="77777777" w:rsidR="004F0614" w:rsidRDefault="00000000">
            <w:pPr>
              <w:spacing w:after="60"/>
            </w:pPr>
            <w:r>
              <w:rPr>
                <w:sz w:val="18"/>
                <w:szCs w:val="18"/>
              </w:rPr>
              <w:t>Bandbreite 273 GB/s — nicht produktionsrepräsentativ für Latenz</w:t>
            </w:r>
          </w:p>
        </w:tc>
      </w:tr>
      <w:tr w:rsidR="004F0614" w14:paraId="6B3B69B5"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D1BD3A7" w14:textId="77777777" w:rsidR="004F0614" w:rsidRDefault="00000000">
            <w:pPr>
              <w:spacing w:after="60"/>
            </w:pPr>
            <w:r>
              <w:rPr>
                <w:sz w:val="18"/>
                <w:szCs w:val="18"/>
              </w:rPr>
              <w:lastRenderedPageBreak/>
              <w:t>HW Produktion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F9377D9" w14:textId="77777777" w:rsidR="004F0614" w:rsidRDefault="00000000">
            <w:pPr>
              <w:spacing w:after="60"/>
            </w:pPr>
            <w:r>
              <w:rPr>
                <w:sz w:val="18"/>
                <w:szCs w:val="18"/>
              </w:rPr>
              <w:t>Server, 1–2× RTX PRO 6000 Blackwell (96 GB)</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76992ED" w14:textId="77777777" w:rsidR="004F0614" w:rsidRDefault="00000000">
            <w:pPr>
              <w:spacing w:after="60"/>
            </w:pPr>
            <w:r>
              <w:rPr>
                <w:sz w:val="18"/>
                <w:szCs w:val="18"/>
              </w:rPr>
              <w:t>L40S (zu klein), H100 (Overkill), DGX Station</w:t>
            </w:r>
          </w:p>
        </w:tc>
        <w:tc>
          <w:tcPr>
            <w:tcW w:w="29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83678CB" w14:textId="77777777" w:rsidR="004F0614" w:rsidRDefault="00000000">
            <w:pPr>
              <w:spacing w:after="60"/>
            </w:pPr>
            <w:r>
              <w:rPr>
                <w:sz w:val="18"/>
                <w:szCs w:val="18"/>
              </w:rPr>
              <w:t>~6× Spark-Bandbreite, 96 GB je GPU</w:t>
            </w:r>
          </w:p>
        </w:tc>
        <w:tc>
          <w:tcPr>
            <w:tcW w:w="15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CC4F6C3" w14:textId="77777777" w:rsidR="004F0614" w:rsidRDefault="00000000">
            <w:pPr>
              <w:spacing w:after="60"/>
            </w:pPr>
            <w:r>
              <w:rPr>
                <w:sz w:val="18"/>
                <w:szCs w:val="18"/>
              </w:rPr>
              <w:t>Preisstreuung 10–16 k€/GPU; Kühlung/Serverraum klären</w:t>
            </w:r>
          </w:p>
        </w:tc>
      </w:tr>
    </w:tbl>
    <w:p w14:paraId="615340E9" w14:textId="77777777" w:rsidR="004F0614" w:rsidRDefault="00000000">
      <w:r>
        <w:br w:type="page"/>
      </w:r>
    </w:p>
    <w:p w14:paraId="51EE03BC" w14:textId="77777777" w:rsidR="004F0614" w:rsidRDefault="00000000">
      <w:pPr>
        <w:pStyle w:val="berschrift1"/>
        <w:pBdr>
          <w:bottom w:val="single" w:sz="8" w:space="4" w:color="1F3864"/>
        </w:pBdr>
        <w:spacing w:before="400" w:after="200"/>
      </w:pPr>
      <w:r>
        <w:rPr>
          <w:b/>
          <w:bCs/>
          <w:color w:val="1F3864"/>
        </w:rPr>
        <w:lastRenderedPageBreak/>
        <w:t>TEIL 3 — Umsetzungsplan</w:t>
      </w:r>
    </w:p>
    <w:p w14:paraId="33121C03" w14:textId="77777777" w:rsidR="004F0614" w:rsidRDefault="00000000">
      <w:pPr>
        <w:pStyle w:val="berschrift2"/>
        <w:spacing w:before="320" w:after="140"/>
      </w:pPr>
      <w:r>
        <w:rPr>
          <w:b/>
          <w:bCs/>
          <w:color w:val="2E5395"/>
        </w:rPr>
        <w:t>Konzeptphase (bezahlt, vor verbindlicher Kalkulation)</w:t>
      </w:r>
    </w:p>
    <w:p w14:paraId="58C97B53" w14:textId="77777777" w:rsidR="004F0614" w:rsidRDefault="00000000">
      <w:pPr>
        <w:spacing w:after="160" w:line="288" w:lineRule="auto"/>
        <w:jc w:val="both"/>
      </w:pPr>
      <w:r>
        <w:rPr>
          <w:b/>
          <w:bCs/>
        </w:rPr>
        <w:t xml:space="preserve">Ziele und Liefergegenstände. </w:t>
      </w:r>
      <w:r>
        <w:t>Erstens der Machbarkeitsnachweis an echten Schaufler-Dokumenten: Wir verarbeiten mindestens fünf vollständige, repräsentative Fertigungsauftrags-Dokumentensätze (Mischung digital/Scan, mindestens ein mehrsprachiger Fall) durch eine prototypische Pipeline (PaddleOCR-VL + gpt-oss-120b auf DGX Spark) und messen Feldgenauigkeit und Positions-Recall gegen die von Schaufler beigestellten historischen Soll-Stücklisten als Ground Truth. Ergebnis ist ein Messbericht, der die Genauigkeitsziele für die Abnahme erst definierbar macht. Zweitens klickbare UI-Mockups der drei Bereiche inklusive Konfliktauflösungsdialog und Spotting-Frame, abgestimmt mit zwei bis drei Konstrukteuren. Drittens das Architekturkonzept: Datenmodell (inkl. Positionsstatus und Provenienz), Integrationskonzept Netzlaufwerke/Cache/Archivierung, Locking-Konzept für F03, und die Hardwareentscheidung mit konkreten Beschaffungsangeboten. Viertens das schriftlich abgestimmte Verständnis aller Konfliktpunkte A–E als Pflichtenheft-Grundlage. Fünftens die belastbare Aufwandsschätzung der Stufen 1–3 mit verbindlichem Angebot für Stufe 1.</w:t>
      </w:r>
    </w:p>
    <w:p w14:paraId="448D0FFF" w14:textId="77777777" w:rsidR="004F0614" w:rsidRDefault="00000000">
      <w:pPr>
        <w:spacing w:after="160" w:line="288" w:lineRule="auto"/>
        <w:jc w:val="both"/>
      </w:pPr>
      <w:r>
        <w:rPr>
          <w:b/>
          <w:bCs/>
        </w:rPr>
        <w:t xml:space="preserve">Dauer und Aufwand. </w:t>
      </w:r>
      <w:r>
        <w:t>6 Wochen, 32–40 PT: Projektleitung/Requirements 8–10, ML-Engineer 13–16, Architekt 6–8, UX 5–6.</w:t>
      </w:r>
    </w:p>
    <w:p w14:paraId="72AB723D" w14:textId="77777777" w:rsidR="004F0614" w:rsidRDefault="00000000">
      <w:pPr>
        <w:spacing w:after="160" w:line="288" w:lineRule="auto"/>
        <w:jc w:val="both"/>
      </w:pPr>
      <w:r>
        <w:rPr>
          <w:b/>
          <w:bCs/>
        </w:rPr>
        <w:t xml:space="preserve">Zwingend zu klärende Fragen (ohne die Stufe 1 nicht kalkulierbar ist): </w:t>
      </w:r>
      <w:r>
        <w:t>Mengengerüst und Genauigkeitsziel (Konfliktpunkt E), F18-Lesart und Positionsstatus (A, B), 3D-/E-Mail-Scope (C), Cloud-/Air-Gap-Definition inkl. Modellbetrieb (D), Netzlaufwerk-Realität (Protokoll, Rechte, Archivierungsverhalten — Schauflers eigener roter Punkt), aktuelle Excel-Vorlage samt Änderungshistorie, Authentifizierung.</w:t>
      </w:r>
    </w:p>
    <w:p w14:paraId="364A8EBD" w14:textId="77777777" w:rsidR="004F0614" w:rsidRDefault="00000000">
      <w:pPr>
        <w:spacing w:after="160" w:line="288" w:lineRule="auto"/>
        <w:jc w:val="both"/>
      </w:pPr>
      <w:r>
        <w:rPr>
          <w:b/>
          <w:bCs/>
        </w:rPr>
        <w:t xml:space="preserve">Preismodell. </w:t>
      </w:r>
      <w:r>
        <w:t>Empfehlung: Fixpreis für die Konzeptphase. Begründung: Der Leistungsumfang ist von uns vollständig kontrollierbar (definierte Liefergegenstände, begrenzte Dokumentenzahl im PoC), Schaufler bekommt als Mittelständler Budgetsicherheit, und als Bestandskunde honoriert er ein klares Paket eher als einen offenen Tagessatz-Rahmen. Das Extraktionsrisiko ist im Fixpreis beherrschbar, weil der PoC messen, nicht garantieren soll — ein „schlechtes" Messergebnis ist ein gültiges Ergebnis. Nach Aufwand abzurechnen wären nur echte Zusatzwünsche. Für die Folgestufen empfehlen wir: Stufe 1 als Fixpreis (nach Konzeptphase kalkulierbar), Stufen 2–3 mit Budgetkorridor und Re-Kalkulation nach der jeweils vorigen Stufe.</w:t>
      </w:r>
    </w:p>
    <w:p w14:paraId="6552B6CF" w14:textId="77777777" w:rsidR="004F0614" w:rsidRDefault="00000000">
      <w:pPr>
        <w:spacing w:after="160" w:line="288" w:lineRule="auto"/>
        <w:jc w:val="both"/>
      </w:pPr>
      <w:r>
        <w:rPr>
          <w:b/>
          <w:bCs/>
        </w:rPr>
        <w:t xml:space="preserve">Beistellungen Schauflers und Konsequenz bei Ausfall. </w:t>
      </w:r>
      <w:r>
        <w:t>Repräsentative Testdokumente inkl. historischer Soll-Stücklisten (Ground Truth), aktuelle Excel-Vorlage und Richtlinie, ein benannter IT-Ansprechpartner, Netzlaufwerk-Testzugang oder ersatzweise ein Verzeichnisexport, und ein Konstrukteur als Fachexperte für ca. 2–4 h/Woche. Fehlen Testdokumente oder Ground Truth, entfällt der Machbarkeitsnachweis — dann liefern wir keine belastbare Genauigkeitsaussage und kein Fixpreisangebot für Stufe 1, sondern höchstens eine Schätzung mit ausgewiesenem Risikoaufschlag; das schreiben wir als Mitwirkungspflicht mit Fristfolge in den Konzeptphasen-Vertrag. Fehlt der Netzlaufwerkszugang, arbeiten wir mit Kopien und kennzeichnen das Integrationskonzept als unvalidiert.</w:t>
      </w:r>
    </w:p>
    <w:p w14:paraId="313C0E59" w14:textId="77777777" w:rsidR="004F0614" w:rsidRDefault="00000000">
      <w:pPr>
        <w:pStyle w:val="berschrift2"/>
        <w:spacing w:before="320" w:after="140"/>
      </w:pPr>
      <w:r>
        <w:rPr>
          <w:b/>
          <w:bCs/>
          <w:color w:val="2E5395"/>
        </w:rPr>
        <w:t>MVP-Stufe 1 — Basispipeline</w:t>
      </w:r>
    </w:p>
    <w:p w14:paraId="67FF3C6E" w14:textId="77777777" w:rsidR="004F0614" w:rsidRDefault="00000000">
      <w:pPr>
        <w:spacing w:after="160" w:line="288" w:lineRule="auto"/>
        <w:jc w:val="both"/>
      </w:pPr>
      <w:r>
        <w:rPr>
          <w:b/>
          <w:bCs/>
        </w:rPr>
        <w:t xml:space="preserve">Funktionaler Umfang. </w:t>
      </w:r>
      <w:r>
        <w:t>Dokumenttypen: PDF (digital und Scan mit OCR), Excel, CSV; alle übrigen Typen nur als referenzierte Ablage im Arbeitsdump. Kundenkonstellation: ein Pilotkunde Schauflers, volle Projektstruktur Kunde → Design → Fertigungsauftrag. Durchgängiger Weg: Dokumente referenzieren → Klassifikation → Extraktion mit Fundstellen → Normalisierung gegen ein initiales Dictionary → Konsolidierung mit Stückzahlaggregation → Konfliktanzeige und -auflösung → Positionsstatus bis „freigegeben" → gefilterter Excel-Export als Snapshot.</w:t>
      </w:r>
    </w:p>
    <w:p w14:paraId="45BE2878" w14:textId="77777777" w:rsidR="004F0614" w:rsidRDefault="00000000">
      <w:pPr>
        <w:spacing w:after="160" w:line="288" w:lineRule="auto"/>
        <w:jc w:val="both"/>
      </w:pPr>
      <w:r>
        <w:rPr>
          <w:b/>
          <w:bCs/>
        </w:rPr>
        <w:t xml:space="preserve">Umsetzung der Prozessschritte (Kap. 8). </w:t>
      </w:r>
      <w:r>
        <w:t>Schritt 1: Import-Service mit SMB-Zugriff, Content-Hashing, Rendition-Cache. Schritt 2: PyMuPDF bzw. PaddleOCR-VL-Pipeline, Ausgabe als Positions-Kandidaten mit Seiten-/Box-Referenz. Schritt 3: gpt-oss-120b mit JSON-Schema-Decoding mappt Kandidaten auf die 16 Kernattribute; Dictionary-Abgleich und Formatregeln (Härte) deterministisch nachgelagert — KI schlägt vor, Regeln normieren, alles wird als Entscheidungstyp (automatisch/KI/manuell) protokolliert. Schritt 4: Entity Resolution wie in 2.3; Uneindeutiges wird Konflikt. Schritt 5: Verifikations-UI mit Spotting-Frame (Seitenbild + Box-Overlay aus dem Cache). Schritt 6: manuelle Bewertung, systemseitig als Statusübergang dokumentiert. Schritt 7: openpyxl-Export in die registrierte Vorlage mit Statusfilter und Snapshot-Dokumentation.</w:t>
      </w:r>
    </w:p>
    <w:p w14:paraId="2B235BA3" w14:textId="77777777" w:rsidR="004F0614" w:rsidRDefault="00000000">
      <w:pPr>
        <w:spacing w:after="160" w:line="288" w:lineRule="auto"/>
        <w:jc w:val="both"/>
      </w:pPr>
      <w:r>
        <w:rPr>
          <w:b/>
          <w:bCs/>
        </w:rPr>
        <w:lastRenderedPageBreak/>
        <w:t xml:space="preserve">Bewusste Vereinfachungen. </w:t>
      </w:r>
      <w:r>
        <w:t>Kein Logikgatter, kein Prompt-Chat, keine Regelengine (nur statisch konfigurierte Normalisierung), festes Drei-Spalten-Layout statt Docking, keine semantische Auswertung von Zeichnungen/E-Mails. Vertretbar, weil Stufe 1 damit bereits den kompletten Wertstrom „Fremddokument → freigegebene Excel-Stückliste" produktiv abdeckt und 11 von 12 Abnahmekriterien erfüllt — der Rest ist Komfort und Skalierung des Wissens, nicht der Kernnutzen.</w:t>
      </w:r>
    </w:p>
    <w:p w14:paraId="067F401B" w14:textId="77777777" w:rsidR="004F0614" w:rsidRDefault="00000000">
      <w:pPr>
        <w:spacing w:after="160" w:line="288" w:lineRule="auto"/>
        <w:jc w:val="both"/>
      </w:pPr>
      <w:r>
        <w:rPr>
          <w:b/>
          <w:bCs/>
        </w:rPr>
        <w:t xml:space="preserve">Erfüllung F01–F20 / AK. </w:t>
      </w:r>
      <w:r>
        <w:t>Vollständig: F02, F03 (mit Locking-Konzept), F05–F12, F15–F18. Teilweise: F01 (weitere Dokumentarten nur Ablage), F04 (Layout fix statt dockbar), F19 (Entscheidungsanzeige tabellarisch, nicht als Gatter-Graph), F20 (Mapping assistiert mit Bestätigung statt vollautomatisch). Nicht: F13, F14 (Stufe 2). Abnahmekriterien: 1–9, 11, 12 erfüllt; 10 offen (Stufe 2).</w:t>
      </w:r>
    </w:p>
    <w:p w14:paraId="5ACAEEA6" w14:textId="77777777" w:rsidR="004F0614" w:rsidRDefault="00000000">
      <w:pPr>
        <w:spacing w:after="160" w:line="288" w:lineRule="auto"/>
        <w:jc w:val="both"/>
      </w:pPr>
      <w:r>
        <w:rPr>
          <w:b/>
          <w:bCs/>
        </w:rPr>
        <w:t xml:space="preserve">Aufwand (PT, optimistisch / realistisch / pessimistisch). </w:t>
      </w:r>
      <w:r>
        <w:t>Backend + Extraktion 38 / 48 / 62; Frontend 24 / 30 / 40; Integration, Test, Deployment beim Kunden 15 / 20 / 27; Projektleitung/QS 8 / 10 / 13. Summe 85 / 108 / 142, Dauer 12–14 Wochen bei 2,5–3 FTE.</w:t>
      </w:r>
    </w:p>
    <w:p w14:paraId="363241E7" w14:textId="77777777" w:rsidR="004F0614" w:rsidRDefault="00000000">
      <w:pPr>
        <w:spacing w:after="160" w:line="288" w:lineRule="auto"/>
        <w:jc w:val="both"/>
      </w:pPr>
      <w:r>
        <w:rPr>
          <w:b/>
          <w:bCs/>
        </w:rPr>
        <w:t xml:space="preserve">Risiken. </w:t>
      </w:r>
      <w:r>
        <w:t>Extraktionsgenauigkeit auf realen Scans unter Zielwert (Eintritt ~30–40 % ohne PoC, nach Konzeptphase quantifiziert — deshalb ist sie Voraussetzung); Netzlaufwerk-Integration (Rechte, Latenz, VPN-Sonderfälle, ~30 %); Konsolidierungsqualität bei stark abweichenden Benennungen (~30 %, abgefedert durch Konflikt-Delegation an den Konstrukteur); Vorlagen-Sonderformate im Export (~15 %).</w:t>
      </w:r>
    </w:p>
    <w:p w14:paraId="41170E77" w14:textId="77777777" w:rsidR="004F0614" w:rsidRDefault="00000000">
      <w:pPr>
        <w:spacing w:after="160" w:line="288" w:lineRule="auto"/>
        <w:jc w:val="both"/>
      </w:pPr>
      <w:r>
        <w:rPr>
          <w:b/>
          <w:bCs/>
        </w:rPr>
        <w:t xml:space="preserve">Abhängigkeiten von der Konzeptphase. </w:t>
      </w:r>
      <w:r>
        <w:t>Genauigkeitsziel und Referenzset (sonst AK 3–5 nicht abnehmbar), Hardwarebeschaffung durch Schaufler vor Integrationsbeginn, bestätigte Lesart A/B, IT-Zugänge.</w:t>
      </w:r>
    </w:p>
    <w:p w14:paraId="2C92B303" w14:textId="77777777" w:rsidR="004F0614" w:rsidRDefault="00000000">
      <w:pPr>
        <w:pStyle w:val="berschrift2"/>
        <w:spacing w:before="320" w:after="140"/>
      </w:pPr>
      <w:r>
        <w:rPr>
          <w:b/>
          <w:bCs/>
          <w:color w:val="2E5395"/>
        </w:rPr>
        <w:t>MVP-Stufe 2 — Regelverwaltung und Lernlogik</w:t>
      </w:r>
    </w:p>
    <w:p w14:paraId="12EA5462" w14:textId="77777777" w:rsidR="004F0614" w:rsidRDefault="00000000">
      <w:pPr>
        <w:spacing w:after="160" w:line="288" w:lineRule="auto"/>
        <w:jc w:val="both"/>
      </w:pPr>
      <w:r>
        <w:rPr>
          <w:b/>
          <w:bCs/>
        </w:rPr>
        <w:t xml:space="preserve">Umfang (Kap. 14). </w:t>
      </w:r>
      <w:r>
        <w:t>Regel-CRUD für Konstrukteure mit Geltungsbereich allgemein/kundenspezifisch/projektspezifisch, Versionierung jeder Regeländerung mit Rollback, parallele Regelstände, Regeltests als Trockenlauf mit Diff-Vorschau auf echten Projektdaten, und der Promotion-Workflow: aus einer manuellen Korrektur generiert das System einen Regelvorschlag (Default-Scope: projektspezifisch), der erst nach Test und expliziter Bestätigung aktiv wird — die direkte Antwort auf die Leitplanke „nicht jede Korrektur ungeprüft global".</w:t>
      </w:r>
    </w:p>
    <w:p w14:paraId="42B3E25B" w14:textId="77777777" w:rsidR="004F0614" w:rsidRDefault="00000000">
      <w:pPr>
        <w:spacing w:after="160" w:line="288" w:lineRule="auto"/>
        <w:jc w:val="both"/>
      </w:pPr>
      <w:r>
        <w:rPr>
          <w:b/>
          <w:bCs/>
        </w:rPr>
        <w:t xml:space="preserve">Umsetzung. </w:t>
      </w:r>
      <w:r>
        <w:t>Regeln als JDM-JSON in PostgreSQL (append-only, Version = neues Objekt mit Vorgänger-Referenz; Rollback = Aktivierung einer Vorversion), Auswertung per ZEN Engine mit fester Präzedenz projekt &gt; kunde &gt; allgemein und protokollierter Regel-Provenienz je Attributwert (nahtlos ins Stufe-1-Modell). Regel-Editor als Entscheidungstabellen-UI im Client.</w:t>
      </w:r>
    </w:p>
    <w:p w14:paraId="09FFA417" w14:textId="77777777" w:rsidR="004F0614" w:rsidRDefault="00000000">
      <w:pPr>
        <w:spacing w:after="160" w:line="288" w:lineRule="auto"/>
        <w:jc w:val="both"/>
      </w:pPr>
      <w:r>
        <w:rPr>
          <w:b/>
          <w:bCs/>
        </w:rPr>
        <w:t xml:space="preserve">Abschluss. </w:t>
      </w:r>
      <w:r>
        <w:t>F13, F14 vollständig, F12 erweitert; AK 10 erfüllt → alle 12 Abnahmekriterien erreicht.</w:t>
      </w:r>
    </w:p>
    <w:p w14:paraId="2F46B077" w14:textId="77777777" w:rsidR="004F0614" w:rsidRDefault="00000000">
      <w:pPr>
        <w:spacing w:after="160" w:line="288" w:lineRule="auto"/>
        <w:jc w:val="both"/>
      </w:pPr>
      <w:r>
        <w:rPr>
          <w:b/>
          <w:bCs/>
        </w:rPr>
        <w:t xml:space="preserve">Aufwand. </w:t>
      </w:r>
      <w:r>
        <w:t>Regelkern + Versionierung 14 / 18 / 24; Verwaltungs-UI/Editor 14 / 18 / 24; Pipeline-Integration + Promotion 9 / 12 / 16; Test/QS 8 / 12 / 16. Summe 45 / 60 / 80, Dauer 7–9 Wochen.</w:t>
      </w:r>
    </w:p>
    <w:p w14:paraId="45ECA237" w14:textId="77777777" w:rsidR="004F0614" w:rsidRDefault="00000000">
      <w:pPr>
        <w:spacing w:after="160" w:line="288" w:lineRule="auto"/>
        <w:jc w:val="both"/>
      </w:pPr>
      <w:r>
        <w:rPr>
          <w:b/>
          <w:bCs/>
        </w:rPr>
        <w:t xml:space="preserve">Risiken. </w:t>
      </w:r>
      <w:r>
        <w:t>Übergeneralisierung trotz Workflow (Nutzer bestätigen zu schnell breite Regeln — Gegenmaßnahme: Pflicht-Trockenlauf mit Auswirkungszähler über Bestandsprojekte, Warnschwelle bei Scope „allgemein"); Regelinterferenz bei parallelen Ständen (Gegenmaßnahme: deterministische Präzedenz + Konfliktreport); Editor-UX für Nicht-Programmierer (mittel).</w:t>
      </w:r>
    </w:p>
    <w:p w14:paraId="221801C8" w14:textId="77777777" w:rsidR="004F0614" w:rsidRDefault="00000000">
      <w:pPr>
        <w:spacing w:after="160" w:line="288" w:lineRule="auto"/>
        <w:jc w:val="both"/>
      </w:pPr>
      <w:r>
        <w:rPr>
          <w:b/>
          <w:bCs/>
        </w:rPr>
        <w:t xml:space="preserve">Abhängigkeiten. </w:t>
      </w:r>
      <w:r>
        <w:t>Provenienz-Datenmodell und Normalisierungspipeline aus Stufe 1.</w:t>
      </w:r>
    </w:p>
    <w:p w14:paraId="0E091B6B" w14:textId="77777777" w:rsidR="004F0614" w:rsidRDefault="00000000">
      <w:pPr>
        <w:pStyle w:val="berschrift2"/>
        <w:spacing w:before="320" w:after="140"/>
      </w:pPr>
      <w:r>
        <w:rPr>
          <w:b/>
          <w:bCs/>
          <w:color w:val="2E5395"/>
        </w:rPr>
        <w:t>MVP-Stufe 3 — Vollständiger Work Desk</w:t>
      </w:r>
    </w:p>
    <w:p w14:paraId="0E6D8F79" w14:textId="77777777" w:rsidR="004F0614" w:rsidRDefault="00000000">
      <w:pPr>
        <w:spacing w:after="160" w:line="288" w:lineRule="auto"/>
        <w:jc w:val="both"/>
      </w:pPr>
      <w:r>
        <w:rPr>
          <w:b/>
          <w:bCs/>
        </w:rPr>
        <w:t xml:space="preserve">Umfang (Kap. 10 + Restformate). </w:t>
      </w:r>
      <w:r>
        <w:t xml:space="preserve">Docking-Architektur mit Qt ADS: alle Bereiche ein-/ausdockbar, eigene Fenster, Perspektiven, Multi-Monitor; Logikgatter-Visualisierung als interaktiver Graph der Transformationskette je Position/Attribut (Quelle → Extraktion → Regel → Wert, farblich nach Entscheidungstyp); Prompt-Feld: natürlichsprachige Anweisung → LLM übersetzt in einen Änderungsvorschlag am JDM-Regelgraph → Diff-Vorschau im Gatter → Bestätigung → versionierte Übernahme über den Stufe-2-Workflow (das Prompt-Feld erzeugt also nie direkt Wirkung, sondern speist den bestehenden, </w:t>
      </w:r>
      <w:r>
        <w:lastRenderedPageBreak/>
        <w:t>geprüften Regelweg — nur so ist es mit Kap. 14 und der fachlichen Hoheit vereinbar); OCR-Spotting-Frame als Extrafenster; semantische Erschließung der restlichen Dokumentklassen: Zeichnungen/Sammelzeichnungen (Schriftfeld- und Positionsextraktion per VLM), E-Mails (.eml/.msg-Parsing, Zuordnungsvorschläge), Protokolle, Herstellerkataloge (Attributanreicherung mit Quellnachweis).</w:t>
      </w:r>
    </w:p>
    <w:p w14:paraId="1C25BFE5" w14:textId="77777777" w:rsidR="004F0614" w:rsidRDefault="00000000">
      <w:pPr>
        <w:spacing w:after="160" w:line="288" w:lineRule="auto"/>
        <w:jc w:val="both"/>
      </w:pPr>
      <w:r>
        <w:rPr>
          <w:b/>
          <w:bCs/>
        </w:rPr>
        <w:t xml:space="preserve">Warum die aufwendigste Stufe. </w:t>
      </w:r>
      <w:r>
        <w:t>Drei unabhängig große Blöcke fallen zusammen: (1) UI-Umbau von festem Layout auf Docking mit Zustandspersistenz, (2) eine Graph-Visualisierung, die live an Pipeline-Provenienzdaten hängt, (3) je neue Dokumentklasse eine eigene Extraktions-Teilpipeline mit eigener Fehlercharakteristik — insbesondere Zeichnungsschriftfelder sind kundenindividuell und benchmarkfern.</w:t>
      </w:r>
    </w:p>
    <w:p w14:paraId="6F3F6ABD" w14:textId="77777777" w:rsidR="004F0614" w:rsidRDefault="00000000">
      <w:pPr>
        <w:spacing w:after="160" w:line="288" w:lineRule="auto"/>
        <w:jc w:val="both"/>
      </w:pPr>
      <w:r>
        <w:rPr>
          <w:b/>
          <w:bCs/>
        </w:rPr>
        <w:t xml:space="preserve">Abschluss. </w:t>
      </w:r>
      <w:r>
        <w:t>F01, F04, F19, F20 vollständig; kein Abnahmekriterium formal offen (alle seit Stufe 2 erfüllt) — Stufe 3 vervollständigt das Lastenheft-Zielbild jenseits der MVP-Abnahme.</w:t>
      </w:r>
    </w:p>
    <w:p w14:paraId="6EEEB77D" w14:textId="77777777" w:rsidR="004F0614" w:rsidRDefault="00000000">
      <w:pPr>
        <w:spacing w:after="160" w:line="288" w:lineRule="auto"/>
        <w:jc w:val="both"/>
      </w:pPr>
      <w:r>
        <w:rPr>
          <w:b/>
          <w:bCs/>
        </w:rPr>
        <w:t xml:space="preserve">Aufwand. </w:t>
      </w:r>
      <w:r>
        <w:t>Docking-UI + Perspektiven 18 / 24 / 30; Logikgatter-Graph 18 / 24 / 32; Prompt-Logiksteuerung inkl. Eval-Suite 16 / 22 / 30; Dokumentklassen-Pipelines 28 / 38 / 50; Integration/Test 15 / 20 / 26. Summe 95 / 128 / 168, Dauer 14–16 Wochen.</w:t>
      </w:r>
    </w:p>
    <w:p w14:paraId="570226BA" w14:textId="77777777" w:rsidR="004F0614" w:rsidRDefault="00000000">
      <w:pPr>
        <w:spacing w:after="160" w:line="288" w:lineRule="auto"/>
        <w:jc w:val="both"/>
      </w:pPr>
      <w:r>
        <w:rPr>
          <w:b/>
          <w:bCs/>
        </w:rPr>
        <w:t xml:space="preserve">Risiken. </w:t>
      </w:r>
      <w:r>
        <w:t>Das prompt-gesteuerte Logikgatter bleibt der offenste Punkt des Lastenhefts (~50 % Wahrscheinlichkeit für Scope-Nachverhandlung — deshalb vertraglich als „assistierte Regeländerung mit Bestätigungspflicht" fixieren, nicht als freie KI-Steuerung); Zeichnungsextraktion unter Zielgenauigkeit (~40 %, per Stufe-3-Vor-PoC an Pilotkunden-Zeichnungen entschärfen); UI-Performancerisiko des Graphen bei großen Stücklisten (~20 %).</w:t>
      </w:r>
    </w:p>
    <w:p w14:paraId="08949234" w14:textId="77777777" w:rsidR="004F0614" w:rsidRDefault="00000000">
      <w:pPr>
        <w:spacing w:after="160" w:line="288" w:lineRule="auto"/>
        <w:jc w:val="both"/>
      </w:pPr>
      <w:r>
        <w:rPr>
          <w:b/>
          <w:bCs/>
        </w:rPr>
        <w:t xml:space="preserve">Abhängigkeiten. </w:t>
      </w:r>
      <w:r>
        <w:t>Regelgraph und Promotion-Workflow (Stufe 2) sind zwingende Grundlage des Prompt-Felds; Provenienzmodell (Stufe 1) ist Grundlage des Gatters; ggf. zweite GPU vor Stufe-3-Rollout.</w:t>
      </w:r>
    </w:p>
    <w:p w14:paraId="46B98632" w14:textId="77777777" w:rsidR="004F0614" w:rsidRDefault="00000000">
      <w:pPr>
        <w:pStyle w:val="berschrift2"/>
        <w:spacing w:before="320" w:after="140"/>
      </w:pPr>
      <w:r>
        <w:rPr>
          <w:b/>
          <w:bCs/>
          <w:color w:val="2E5395"/>
        </w:rPr>
        <w:t>Zusammenfassung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800"/>
        <w:gridCol w:w="3266"/>
        <w:gridCol w:w="2200"/>
      </w:tblGrid>
      <w:tr w:rsidR="004F0614" w14:paraId="10805ED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565DF392" w14:textId="77777777" w:rsidR="004F0614" w:rsidRDefault="00000000">
            <w:pPr>
              <w:spacing w:after="60"/>
            </w:pPr>
            <w:r>
              <w:rPr>
                <w:b/>
                <w:bCs/>
                <w:color w:val="FFFFFF"/>
                <w:sz w:val="18"/>
                <w:szCs w:val="18"/>
              </w:rPr>
              <w:t>Stufe</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6D5605D9" w14:textId="77777777" w:rsidR="004F0614" w:rsidRDefault="00000000">
            <w:pPr>
              <w:spacing w:after="60"/>
            </w:pPr>
            <w:r>
              <w:rPr>
                <w:b/>
                <w:bCs/>
                <w:color w:val="FFFFFF"/>
                <w:sz w:val="18"/>
                <w:szCs w:val="18"/>
              </w:rPr>
              <w:t>Dauer</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82B3F8F" w14:textId="77777777" w:rsidR="004F0614" w:rsidRDefault="00000000">
            <w:pPr>
              <w:spacing w:after="60"/>
            </w:pPr>
            <w:r>
              <w:rPr>
                <w:b/>
                <w:bCs/>
                <w:color w:val="FFFFFF"/>
                <w:sz w:val="18"/>
                <w:szCs w:val="18"/>
              </w:rPr>
              <w:t>PT (opt./real./pess.)</w:t>
            </w:r>
          </w:p>
        </w:tc>
        <w:tc>
          <w:tcPr>
            <w:tcW w:w="32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4E320FD0" w14:textId="77777777" w:rsidR="004F0614" w:rsidRDefault="00000000">
            <w:pPr>
              <w:spacing w:after="60"/>
            </w:pPr>
            <w:r>
              <w:rPr>
                <w:b/>
                <w:bCs/>
                <w:color w:val="FFFFFF"/>
                <w:sz w:val="18"/>
                <w:szCs w:val="18"/>
              </w:rPr>
              <w:t>Kernrisiko</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7195879C" w14:textId="77777777" w:rsidR="004F0614" w:rsidRDefault="00000000">
            <w:pPr>
              <w:spacing w:after="60"/>
            </w:pPr>
            <w:r>
              <w:rPr>
                <w:b/>
                <w:bCs/>
                <w:color w:val="FFFFFF"/>
                <w:sz w:val="18"/>
                <w:szCs w:val="18"/>
              </w:rPr>
              <w:t>Erfüllte Abnahmekriterien (kumuliert)</w:t>
            </w:r>
          </w:p>
        </w:tc>
      </w:tr>
      <w:tr w:rsidR="004F0614" w14:paraId="4F21B17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C318A0" w14:textId="77777777" w:rsidR="004F0614" w:rsidRDefault="00000000">
            <w:pPr>
              <w:spacing w:after="60"/>
            </w:pPr>
            <w:r>
              <w:rPr>
                <w:sz w:val="18"/>
                <w:szCs w:val="18"/>
              </w:rPr>
              <w:t>Konzeptphase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29486A6" w14:textId="77777777" w:rsidR="004F0614" w:rsidRDefault="00000000">
            <w:pPr>
              <w:spacing w:after="60"/>
            </w:pPr>
            <w:r>
              <w:rPr>
                <w:sz w:val="18"/>
                <w:szCs w:val="18"/>
              </w:rPr>
              <w:t>6 Wochen</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FE3D96" w14:textId="77777777" w:rsidR="004F0614" w:rsidRDefault="00000000">
            <w:pPr>
              <w:spacing w:after="60"/>
            </w:pPr>
            <w:r>
              <w:rPr>
                <w:sz w:val="18"/>
                <w:szCs w:val="18"/>
              </w:rPr>
              <w:t>32 / 36 / 40</w:t>
            </w:r>
          </w:p>
        </w:tc>
        <w:tc>
          <w:tcPr>
            <w:tcW w:w="32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28D6E93" w14:textId="77777777" w:rsidR="004F0614" w:rsidRDefault="00000000">
            <w:pPr>
              <w:spacing w:after="60"/>
            </w:pPr>
            <w:r>
              <w:rPr>
                <w:sz w:val="18"/>
                <w:szCs w:val="18"/>
              </w:rPr>
              <w:t>Beistellungen fehlen → keine Kalkulationsbasis</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6D7C807" w14:textId="77777777" w:rsidR="004F0614" w:rsidRDefault="00000000">
            <w:pPr>
              <w:spacing w:after="60"/>
            </w:pPr>
            <w:r>
              <w:rPr>
                <w:sz w:val="18"/>
                <w:szCs w:val="18"/>
              </w:rPr>
              <w:t>— (Vorbedingung)</w:t>
            </w:r>
          </w:p>
        </w:tc>
      </w:tr>
      <w:tr w:rsidR="004F0614" w14:paraId="734F906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AA15AD3" w14:textId="77777777" w:rsidR="004F0614" w:rsidRDefault="00000000">
            <w:pPr>
              <w:spacing w:after="60"/>
            </w:pPr>
            <w:r>
              <w:rPr>
                <w:sz w:val="18"/>
                <w:szCs w:val="18"/>
              </w:rPr>
              <w:t>Stufe 1 Basispipeline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7B262684" w14:textId="77777777" w:rsidR="004F0614" w:rsidRDefault="00000000">
            <w:pPr>
              <w:spacing w:after="60"/>
            </w:pPr>
            <w:r>
              <w:rPr>
                <w:sz w:val="18"/>
                <w:szCs w:val="18"/>
              </w:rPr>
              <w:t>12–14 Wochen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1A09C4E" w14:textId="77777777" w:rsidR="004F0614" w:rsidRDefault="00000000">
            <w:pPr>
              <w:spacing w:after="60"/>
            </w:pPr>
            <w:r>
              <w:rPr>
                <w:sz w:val="18"/>
                <w:szCs w:val="18"/>
              </w:rPr>
              <w:t>85 / 108 / 142</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99903AD" w14:textId="77777777" w:rsidR="004F0614" w:rsidRDefault="00000000">
            <w:pPr>
              <w:spacing w:after="60"/>
            </w:pPr>
            <w:r>
              <w:rPr>
                <w:sz w:val="18"/>
                <w:szCs w:val="18"/>
              </w:rPr>
              <w:t>OCR-/Konsolidierungsgenauigkeit auf Realdaten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E2EC530" w14:textId="77777777" w:rsidR="004F0614" w:rsidRDefault="00000000">
            <w:pPr>
              <w:spacing w:after="60"/>
            </w:pPr>
            <w:r>
              <w:rPr>
                <w:sz w:val="18"/>
                <w:szCs w:val="18"/>
              </w:rPr>
              <w:t>AK 1–9, 11, 12</w:t>
            </w:r>
          </w:p>
        </w:tc>
      </w:tr>
      <w:tr w:rsidR="004F0614" w14:paraId="52502426"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E638600" w14:textId="77777777" w:rsidR="004F0614" w:rsidRDefault="00000000">
            <w:pPr>
              <w:spacing w:after="60"/>
            </w:pPr>
            <w:r>
              <w:rPr>
                <w:sz w:val="18"/>
                <w:szCs w:val="18"/>
              </w:rPr>
              <w:t>Stufe 2 Regelengine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B188BE2" w14:textId="77777777" w:rsidR="004F0614" w:rsidRDefault="00000000">
            <w:pPr>
              <w:spacing w:after="60"/>
            </w:pPr>
            <w:r>
              <w:rPr>
                <w:sz w:val="18"/>
                <w:szCs w:val="18"/>
              </w:rPr>
              <w:t>7–9 Wochen</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7BB4DCB" w14:textId="77777777" w:rsidR="004F0614" w:rsidRDefault="00000000">
            <w:pPr>
              <w:spacing w:after="60"/>
            </w:pPr>
            <w:r>
              <w:rPr>
                <w:sz w:val="18"/>
                <w:szCs w:val="18"/>
              </w:rPr>
              <w:t>45 / 60 / 80</w:t>
            </w:r>
          </w:p>
        </w:tc>
        <w:tc>
          <w:tcPr>
            <w:tcW w:w="32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47A445C7" w14:textId="77777777" w:rsidR="004F0614" w:rsidRDefault="00000000">
            <w:pPr>
              <w:spacing w:after="60"/>
            </w:pPr>
            <w:r>
              <w:rPr>
                <w:sz w:val="18"/>
                <w:szCs w:val="18"/>
              </w:rPr>
              <w:t>Übergeneralisierung von Regeln</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415C5C1" w14:textId="77777777" w:rsidR="004F0614" w:rsidRDefault="00000000">
            <w:pPr>
              <w:spacing w:after="60"/>
            </w:pPr>
            <w:r>
              <w:rPr>
                <w:sz w:val="18"/>
                <w:szCs w:val="18"/>
              </w:rPr>
              <w:t>+ AK 10 → alle 12</w:t>
            </w:r>
          </w:p>
        </w:tc>
      </w:tr>
      <w:tr w:rsidR="004F0614" w14:paraId="2020DD5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787B7FE" w14:textId="77777777" w:rsidR="004F0614" w:rsidRDefault="00000000">
            <w:pPr>
              <w:spacing w:after="60"/>
            </w:pPr>
            <w:r>
              <w:rPr>
                <w:sz w:val="18"/>
                <w:szCs w:val="18"/>
              </w:rPr>
              <w:t>Stufe 3 Work Desk</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CAA8495" w14:textId="77777777" w:rsidR="004F0614" w:rsidRDefault="00000000">
            <w:pPr>
              <w:spacing w:after="60"/>
            </w:pPr>
            <w:r>
              <w:rPr>
                <w:sz w:val="18"/>
                <w:szCs w:val="18"/>
              </w:rPr>
              <w:t>14–16 Wochen</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4AD24E5" w14:textId="77777777" w:rsidR="004F0614" w:rsidRDefault="00000000">
            <w:pPr>
              <w:spacing w:after="60"/>
            </w:pPr>
            <w:r>
              <w:rPr>
                <w:sz w:val="18"/>
                <w:szCs w:val="18"/>
              </w:rPr>
              <w:t>95 / 128 / 168</w:t>
            </w:r>
          </w:p>
        </w:tc>
        <w:tc>
          <w:tcPr>
            <w:tcW w:w="32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16D13B9" w14:textId="77777777" w:rsidR="004F0614" w:rsidRDefault="00000000">
            <w:pPr>
              <w:spacing w:after="60"/>
            </w:pPr>
            <w:r>
              <w:rPr>
                <w:sz w:val="18"/>
                <w:szCs w:val="18"/>
              </w:rPr>
              <w:t>Prompt-gesteuertes Logikgatter (Scope)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609A7254" w14:textId="77777777" w:rsidR="004F0614" w:rsidRDefault="00000000">
            <w:pPr>
              <w:spacing w:after="60"/>
            </w:pPr>
            <w:r>
              <w:rPr>
                <w:sz w:val="18"/>
                <w:szCs w:val="18"/>
              </w:rPr>
              <w:t>alle 12 (Zielbild komplett)</w:t>
            </w:r>
          </w:p>
        </w:tc>
      </w:tr>
      <w:tr w:rsidR="004F0614" w14:paraId="30F7515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27D8A18F" w14:textId="77777777" w:rsidR="004F0614" w:rsidRDefault="00000000">
            <w:pPr>
              <w:spacing w:after="60"/>
            </w:pPr>
            <w:r>
              <w:rPr>
                <w:sz w:val="18"/>
                <w:szCs w:val="18"/>
              </w:rPr>
              <w:t>Gesamt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CBAB8F3" w14:textId="77777777" w:rsidR="004F0614" w:rsidRDefault="00000000">
            <w:pPr>
              <w:spacing w:after="60"/>
            </w:pPr>
            <w:r>
              <w:rPr>
                <w:sz w:val="18"/>
                <w:szCs w:val="18"/>
              </w:rPr>
              <w:t>~10–11 Monate</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2561F7D" w14:textId="77777777" w:rsidR="004F0614" w:rsidRDefault="00000000">
            <w:pPr>
              <w:spacing w:after="60"/>
            </w:pPr>
            <w:r>
              <w:rPr>
                <w:sz w:val="18"/>
                <w:szCs w:val="18"/>
              </w:rPr>
              <w:t>257 / 332 / 430</w:t>
            </w:r>
          </w:p>
        </w:tc>
        <w:tc>
          <w:tcPr>
            <w:tcW w:w="32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D02D6C1" w14:textId="77777777" w:rsidR="004F0614" w:rsidRDefault="004F0614">
            <w:pPr>
              <w:spacing w:after="60"/>
            </w:pP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0F56383" w14:textId="77777777" w:rsidR="004F0614" w:rsidRDefault="004F0614">
            <w:pPr>
              <w:spacing w:after="60"/>
            </w:pPr>
          </w:p>
        </w:tc>
      </w:tr>
    </w:tbl>
    <w:p w14:paraId="1AF730CC" w14:textId="77777777" w:rsidR="004F0614" w:rsidRDefault="00000000">
      <w:r>
        <w:br w:type="page"/>
      </w:r>
    </w:p>
    <w:p w14:paraId="1817C792" w14:textId="77777777" w:rsidR="004F0614" w:rsidRDefault="00000000">
      <w:pPr>
        <w:pStyle w:val="berschrift1"/>
        <w:pBdr>
          <w:bottom w:val="single" w:sz="8" w:space="4" w:color="1F3864"/>
        </w:pBdr>
        <w:spacing w:before="400" w:after="200"/>
      </w:pPr>
      <w:r>
        <w:rPr>
          <w:b/>
          <w:bCs/>
          <w:color w:val="1F3864"/>
        </w:rPr>
        <w:lastRenderedPageBreak/>
        <w:t>TEIL 4 — Offene Punkte für das Kundengespräch (priorisiert)</w:t>
      </w:r>
    </w:p>
    <w:p w14:paraId="634FEE20" w14:textId="77777777" w:rsidR="004F0614" w:rsidRDefault="00000000">
      <w:pPr>
        <w:pStyle w:val="berschrift2"/>
        <w:spacing w:before="320" w:after="140"/>
      </w:pPr>
      <w:r>
        <w:rPr>
          <w:b/>
          <w:bCs/>
          <w:color w:val="2E5395"/>
        </w:rPr>
        <w:t>Priorität 1 — beeinflussen Architektur und Kalkulation fundamental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500"/>
        <w:gridCol w:w="4466"/>
      </w:tblGrid>
      <w:tr w:rsidR="004F0614" w14:paraId="767BF26A"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0C6F2369" w14:textId="77777777" w:rsidR="004F0614" w:rsidRDefault="00000000">
            <w:pPr>
              <w:spacing w:after="60"/>
            </w:pPr>
            <w:r>
              <w:rPr>
                <w:b/>
                <w:bCs/>
                <w:color w:val="FFFFFF"/>
                <w:sz w:val="18"/>
                <w:szCs w:val="18"/>
              </w:rPr>
              <w:t>#</w:t>
            </w:r>
          </w:p>
        </w:tc>
        <w:tc>
          <w:tcPr>
            <w:tcW w:w="5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EAE2832" w14:textId="77777777" w:rsidR="004F0614" w:rsidRDefault="00000000">
            <w:pPr>
              <w:spacing w:after="60"/>
            </w:pPr>
            <w:r>
              <w:rPr>
                <w:b/>
                <w:bCs/>
                <w:color w:val="FFFFFF"/>
                <w:sz w:val="18"/>
                <w:szCs w:val="18"/>
              </w:rPr>
              <w:t>Frage</w:t>
            </w:r>
          </w:p>
        </w:tc>
        <w:tc>
          <w:tcPr>
            <w:tcW w:w="446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vAlign w:val="center"/>
          </w:tcPr>
          <w:p w14:paraId="1A48D0B8" w14:textId="77777777" w:rsidR="004F0614" w:rsidRDefault="00000000">
            <w:pPr>
              <w:spacing w:after="60"/>
            </w:pPr>
            <w:r>
              <w:rPr>
                <w:b/>
                <w:bCs/>
                <w:color w:val="FFFFFF"/>
                <w:sz w:val="18"/>
                <w:szCs w:val="18"/>
              </w:rPr>
              <w:t>Wirkung</w:t>
            </w:r>
          </w:p>
        </w:tc>
      </w:tr>
      <w:tr w:rsidR="004F0614" w14:paraId="75CB2AE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0C0FC8F8" w14:textId="77777777" w:rsidR="004F0614" w:rsidRDefault="00000000">
            <w:pPr>
              <w:spacing w:after="60"/>
            </w:pPr>
            <w:r>
              <w:rPr>
                <w:sz w:val="18"/>
                <w:szCs w:val="18"/>
              </w:rPr>
              <w:t>1</w:t>
            </w:r>
          </w:p>
        </w:tc>
        <w:tc>
          <w:tcPr>
            <w:tcW w:w="5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49D7A54" w14:textId="77777777" w:rsidR="004F0614" w:rsidRDefault="00000000">
            <w:pPr>
              <w:spacing w:after="60"/>
            </w:pPr>
            <w:r>
              <w:rPr>
                <w:sz w:val="18"/>
                <w:szCs w:val="18"/>
              </w:rPr>
              <w:t>Mengengerüst: Positionen/Stückliste, Dokumente+Seiten/Auftrag, Scan-Anteil und -qualität, Aufträge/Jahr, gleichzeitige Nutzer</w:t>
            </w:r>
          </w:p>
        </w:tc>
        <w:tc>
          <w:tcPr>
            <w:tcW w:w="44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86AD71C" w14:textId="77777777" w:rsidR="004F0614" w:rsidRDefault="00000000">
            <w:pPr>
              <w:spacing w:after="60"/>
            </w:pPr>
            <w:r>
              <w:rPr>
                <w:sz w:val="18"/>
                <w:szCs w:val="18"/>
              </w:rPr>
              <w:t>Hardware-Sizing, Aufwand aller Stufen, Performancearchitektur</w:t>
            </w:r>
          </w:p>
        </w:tc>
      </w:tr>
      <w:tr w:rsidR="004F0614" w14:paraId="0A6D1C57"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E39E90A" w14:textId="77777777" w:rsidR="004F0614" w:rsidRDefault="00000000">
            <w:pPr>
              <w:spacing w:after="60"/>
            </w:pPr>
            <w:r>
              <w:rPr>
                <w:sz w:val="18"/>
                <w:szCs w:val="18"/>
              </w:rPr>
              <w:t>2</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EADE78B" w14:textId="77777777" w:rsidR="004F0614" w:rsidRDefault="00000000">
            <w:pPr>
              <w:spacing w:after="60"/>
            </w:pPr>
            <w:r>
              <w:rPr>
                <w:sz w:val="18"/>
                <w:szCs w:val="18"/>
              </w:rPr>
              <w:t>Messbares Genauigkeitsziel + Beistellung eines annotierbaren Referenzsets</w:t>
            </w:r>
          </w:p>
        </w:tc>
        <w:tc>
          <w:tcPr>
            <w:tcW w:w="44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098A134" w14:textId="77777777" w:rsidR="004F0614" w:rsidRDefault="00000000">
            <w:pPr>
              <w:spacing w:after="60"/>
            </w:pPr>
            <w:r>
              <w:rPr>
                <w:sz w:val="18"/>
                <w:szCs w:val="18"/>
              </w:rPr>
              <w:t>Ohne dies sind AK 3–5 nicht abnehmbar und der KI-Aufwand unbegrenzt</w:t>
            </w:r>
          </w:p>
        </w:tc>
      </w:tr>
      <w:tr w:rsidR="004F0614" w14:paraId="4BA282C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6E4DDEB" w14:textId="77777777" w:rsidR="004F0614" w:rsidRDefault="00000000">
            <w:pPr>
              <w:spacing w:after="60"/>
            </w:pPr>
            <w:r>
              <w:rPr>
                <w:sz w:val="18"/>
                <w:szCs w:val="18"/>
              </w:rPr>
              <w:t>3</w:t>
            </w:r>
          </w:p>
        </w:tc>
        <w:tc>
          <w:tcPr>
            <w:tcW w:w="5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5224F91" w14:textId="77777777" w:rsidR="004F0614" w:rsidRDefault="00000000">
            <w:pPr>
              <w:spacing w:after="60"/>
            </w:pPr>
            <w:r>
              <w:rPr>
                <w:sz w:val="18"/>
                <w:szCs w:val="18"/>
              </w:rPr>
              <w:t>Cloud-Definition: Air-Gap oder kontrollierter Egress (Modell-Downloads, Updates, spätere Online-Kataloge)? Gilt On-Premise auch für Entwicklungs-/PoC-Phase?</w:t>
            </w:r>
          </w:p>
        </w:tc>
        <w:tc>
          <w:tcPr>
            <w:tcW w:w="44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70536DA7" w14:textId="77777777" w:rsidR="004F0614" w:rsidRDefault="00000000">
            <w:pPr>
              <w:spacing w:after="60"/>
            </w:pPr>
            <w:r>
              <w:rPr>
                <w:sz w:val="18"/>
                <w:szCs w:val="18"/>
              </w:rPr>
              <w:t>Modellwahl, Update-Strategie, Betriebskonzept</w:t>
            </w:r>
          </w:p>
        </w:tc>
      </w:tr>
      <w:tr w:rsidR="004F0614" w14:paraId="195171CB"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3480B1F0" w14:textId="77777777" w:rsidR="004F0614" w:rsidRDefault="00000000">
            <w:pPr>
              <w:spacing w:after="60"/>
            </w:pPr>
            <w:r>
              <w:rPr>
                <w:sz w:val="18"/>
                <w:szCs w:val="18"/>
              </w:rPr>
              <w:t>4</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8371842" w14:textId="77777777" w:rsidR="004F0614" w:rsidRDefault="00000000">
            <w:pPr>
              <w:spacing w:after="60"/>
            </w:pPr>
            <w:r>
              <w:rPr>
                <w:sz w:val="18"/>
                <w:szCs w:val="18"/>
              </w:rPr>
              <w:t>Bestätigung der Lesarten: F18 = eingebettete manuelle V&amp;V + formale Prüfungen; AK 9 = Positionsstatus ohne Rollentrennung; Statusmodell auf Positionsebene</w:t>
            </w:r>
          </w:p>
        </w:tc>
        <w:tc>
          <w:tcPr>
            <w:tcW w:w="44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04AA6E2D" w14:textId="77777777" w:rsidR="004F0614" w:rsidRDefault="00000000">
            <w:pPr>
              <w:spacing w:after="60"/>
            </w:pPr>
            <w:r>
              <w:rPr>
                <w:sz w:val="18"/>
                <w:szCs w:val="18"/>
              </w:rPr>
              <w:t>Datenmodell, zweistellige PT-Differenz</w:t>
            </w:r>
          </w:p>
        </w:tc>
      </w:tr>
      <w:tr w:rsidR="004F0614" w14:paraId="29FFDB0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64872A1F" w14:textId="77777777" w:rsidR="004F0614" w:rsidRDefault="00000000">
            <w:pPr>
              <w:spacing w:after="60"/>
            </w:pPr>
            <w:r>
              <w:rPr>
                <w:sz w:val="18"/>
                <w:szCs w:val="18"/>
              </w:rPr>
              <w:t>5</w:t>
            </w:r>
          </w:p>
        </w:tc>
        <w:tc>
          <w:tcPr>
            <w:tcW w:w="5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3067DC00" w14:textId="77777777" w:rsidR="004F0614" w:rsidRDefault="00000000">
            <w:pPr>
              <w:spacing w:after="60"/>
            </w:pPr>
            <w:r>
              <w:rPr>
                <w:sz w:val="18"/>
                <w:szCs w:val="18"/>
              </w:rPr>
              <w:t>3D-Daten, E-Mails, Protokolle: im MVP referenzierte Ablage ohne semantische Auswertung — akzeptiert? Irgendeine 3D-Auswertung überhaupt erwartet?</w:t>
            </w:r>
          </w:p>
        </w:tc>
        <w:tc>
          <w:tcPr>
            <w:tcW w:w="44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B6FC5B1" w14:textId="77777777" w:rsidR="004F0614" w:rsidRDefault="00000000">
            <w:pPr>
              <w:spacing w:after="60"/>
            </w:pPr>
            <w:r>
              <w:rPr>
                <w:sz w:val="18"/>
                <w:szCs w:val="18"/>
              </w:rPr>
              <w:t>Scope-Grenze; Geometrie-Parsing wäre eigenes Teilprojekt</w:t>
            </w:r>
          </w:p>
        </w:tc>
      </w:tr>
      <w:tr w:rsidR="004F0614" w14:paraId="57757B3C"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5782C9E6" w14:textId="77777777" w:rsidR="004F0614" w:rsidRDefault="00000000">
            <w:pPr>
              <w:spacing w:after="60"/>
            </w:pPr>
            <w:r>
              <w:rPr>
                <w:sz w:val="18"/>
                <w:szCs w:val="18"/>
              </w:rPr>
              <w:t>6</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F887065" w14:textId="77777777" w:rsidR="004F0614" w:rsidRDefault="00000000">
            <w:pPr>
              <w:spacing w:after="60"/>
            </w:pPr>
            <w:r>
              <w:rPr>
                <w:sz w:val="18"/>
                <w:szCs w:val="18"/>
              </w:rPr>
              <w:t>Gleichzeitige Bearbeitung desselben Projekts (F03 vs. „sequenziell", Kap. 15): Locking auf Positionsebene akzeptiert?</w:t>
            </w:r>
          </w:p>
        </w:tc>
        <w:tc>
          <w:tcPr>
            <w:tcW w:w="44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04CA57D" w14:textId="77777777" w:rsidR="004F0614" w:rsidRDefault="00000000">
            <w:pPr>
              <w:spacing w:after="60"/>
            </w:pPr>
            <w:r>
              <w:rPr>
                <w:sz w:val="18"/>
                <w:szCs w:val="18"/>
              </w:rPr>
              <w:t>Datenmodell, UI, Testaufwand</w:t>
            </w:r>
          </w:p>
        </w:tc>
      </w:tr>
      <w:tr w:rsidR="004F0614" w14:paraId="69EEFDB4"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10589EF" w14:textId="77777777" w:rsidR="004F0614" w:rsidRDefault="00000000">
            <w:pPr>
              <w:spacing w:after="60"/>
            </w:pPr>
            <w:r>
              <w:rPr>
                <w:sz w:val="18"/>
                <w:szCs w:val="18"/>
              </w:rPr>
              <w:t>7</w:t>
            </w:r>
          </w:p>
        </w:tc>
        <w:tc>
          <w:tcPr>
            <w:tcW w:w="5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5C896732" w14:textId="77777777" w:rsidR="004F0614" w:rsidRDefault="00000000">
            <w:pPr>
              <w:spacing w:after="60"/>
            </w:pPr>
            <w:r>
              <w:rPr>
                <w:sz w:val="18"/>
                <w:szCs w:val="18"/>
              </w:rPr>
              <w:t>Netzlaufwerk-Realität + Datenarchivierung (Schauflers roter Punkt): Dürfen wir Renditionen/Hashes systemseitig cachen? Was passiert mit Quellen nach Archivierung?</w:t>
            </w:r>
          </w:p>
        </w:tc>
        <w:tc>
          <w:tcPr>
            <w:tcW w:w="4466"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tcPr>
          <w:p w14:paraId="1E48CD0C" w14:textId="77777777" w:rsidR="004F0614" w:rsidRDefault="00000000">
            <w:pPr>
              <w:spacing w:after="60"/>
            </w:pPr>
            <w:r>
              <w:rPr>
                <w:sz w:val="18"/>
                <w:szCs w:val="18"/>
              </w:rPr>
              <w:t>Nachvollziehbarkeit (F08/F12) steht und fällt damit; Speicherkalkulation</w:t>
            </w:r>
          </w:p>
        </w:tc>
      </w:tr>
      <w:tr w:rsidR="004F0614" w14:paraId="07223E66"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087D303" w14:textId="77777777" w:rsidR="004F0614" w:rsidRDefault="00000000">
            <w:pPr>
              <w:spacing w:after="60"/>
            </w:pPr>
            <w:r>
              <w:rPr>
                <w:sz w:val="18"/>
                <w:szCs w:val="18"/>
              </w:rPr>
              <w:t>8</w:t>
            </w:r>
          </w:p>
        </w:tc>
        <w:tc>
          <w:tcPr>
            <w:tcW w:w="5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45B6CDCA" w14:textId="77777777" w:rsidR="004F0614" w:rsidRDefault="00000000">
            <w:pPr>
              <w:spacing w:after="60"/>
            </w:pPr>
            <w:r>
              <w:rPr>
                <w:sz w:val="18"/>
                <w:szCs w:val="18"/>
              </w:rPr>
              <w:t>Hardware: Budgetrahmen, Serverraum/Kühlung vorhanden, wer betreibt (Patches, Modellupdates, Backup)? Beschaffung durch Schaufler oder über uns?</w:t>
            </w:r>
          </w:p>
        </w:tc>
        <w:tc>
          <w:tcPr>
            <w:tcW w:w="4466"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tcPr>
          <w:p w14:paraId="1101A4F6" w14:textId="77777777" w:rsidR="004F0614" w:rsidRDefault="00000000">
            <w:pPr>
              <w:spacing w:after="60"/>
            </w:pPr>
            <w:r>
              <w:rPr>
                <w:sz w:val="18"/>
                <w:szCs w:val="18"/>
              </w:rPr>
              <w:t>Angebotsstruktur, Betriebsvertrag</w:t>
            </w:r>
          </w:p>
        </w:tc>
      </w:tr>
    </w:tbl>
    <w:p w14:paraId="47C0780A" w14:textId="77777777" w:rsidR="004F0614" w:rsidRDefault="00000000">
      <w:pPr>
        <w:pStyle w:val="berschrift2"/>
        <w:spacing w:before="320" w:after="140"/>
      </w:pPr>
      <w:r>
        <w:rPr>
          <w:b/>
          <w:bCs/>
          <w:color w:val="2E5395"/>
        </w:rPr>
        <w:t>Priorität 2 — beeinflussen Kalkulation einzelner Stufen</w:t>
      </w:r>
    </w:p>
    <w:p w14:paraId="3DC9FF2F" w14:textId="77777777" w:rsidR="004F0614" w:rsidRDefault="00000000">
      <w:pPr>
        <w:spacing w:after="160" w:line="288" w:lineRule="auto"/>
        <w:jc w:val="both"/>
      </w:pPr>
      <w:r>
        <w:t>Vorlagen-Governance (wer gibt neue Excel-Vorlagen frei, F20 „selbständig" = mit oder ohne Bestätigung?); Authentifizierung (AD/LDAP vs. lokal) und technische Admin-Rolle; Begriff „Kostenqualifizierer" vs. Attributtabelle; Herkunft/Umfang des initialen Dictionarys (Alt-Stücklisten?); Regelpräzedenz bei Scope-Konflikten; Verhalten bei nachträglichen Quellen nach Konfliktauflösung; Sprachumfang der Fremddaten; Client-Betriebssystem (nur Windows?).</w:t>
      </w:r>
    </w:p>
    <w:p w14:paraId="094F88F7" w14:textId="77777777" w:rsidR="004F0614" w:rsidRDefault="00000000">
      <w:pPr>
        <w:pStyle w:val="berschrift2"/>
        <w:spacing w:before="320" w:after="140"/>
      </w:pPr>
      <w:r>
        <w:rPr>
          <w:b/>
          <w:bCs/>
          <w:color w:val="2E5395"/>
        </w:rPr>
        <w:t>Priorität 3 — vor Stufe 2/3 ausreichend</w:t>
      </w:r>
    </w:p>
    <w:p w14:paraId="4B462BDE" w14:textId="77777777" w:rsidR="004F0614" w:rsidRDefault="00000000">
      <w:pPr>
        <w:spacing w:after="160" w:line="288" w:lineRule="auto"/>
        <w:jc w:val="both"/>
      </w:pPr>
      <w:r>
        <w:t>E-Mail-Zugriffsweg (Dateiablage vs. Exchange-Anbindung — Letzteres wäre neuer Integrationsscope); Detailtiefe der Logikgatter-Visualisierung; Umfang Regeltests/-validierung (Schauflers eigener offener Punkt); Schulungs-/Supportmodell nach Abnahme.</w:t>
      </w:r>
    </w:p>
    <w:p w14:paraId="5E0DD011" w14:textId="77777777" w:rsidR="004F0614" w:rsidRDefault="00000000">
      <w:pPr>
        <w:pStyle w:val="berschrift2"/>
        <w:spacing w:before="320" w:after="140"/>
      </w:pPr>
      <w:r>
        <w:rPr>
          <w:b/>
          <w:bCs/>
          <w:color w:val="2E5395"/>
        </w:rPr>
        <w:t>Kurzes Fazit aus Anbietersicht</w:t>
      </w:r>
    </w:p>
    <w:p w14:paraId="52F41602" w14:textId="77777777" w:rsidR="004F0614" w:rsidRDefault="00000000">
      <w:pPr>
        <w:spacing w:after="160" w:line="288" w:lineRule="auto"/>
        <w:jc w:val="both"/>
      </w:pPr>
      <w:r>
        <w:t>Das Lastenheft ist ungewöhnlich reflektiert (Konflikte als Auflösungsfälle, keine Black-Box, Mensch behält Hoheit) und passt technisch gut auf unseren BOM-Mapper-Unterbau — die Extraktions- und Konsolidierungslogik ist wiederverwendbar, was in der Stufe-1-Schätzung bereits eingepreist werden kann, sobald wir im PoC verifiziert haben, wie weit der Übertrag trägt. Die beiden echten Projektrisiken sind nicht die KI-Genauigkeit an sich, sondern (1) die ungeklärten Semantikfragen A–E, die wir vor jeder Fixpreiszusage schriftlich schließen müssen, und (2) das prompt-gesteuerte Logikgatter, das wir vertraglich als assistierten, bestätigungspflichtigen Regelweg definieren sollten — in genau dieser Form ist es übrigens auch die sauberste Erfüllung von Schauflers eigenem Grundsatz, dass die fachliche Entscheidungsverantwortung beim Konstrukteur bleibt.</w:t>
      </w:r>
    </w:p>
    <w:sectPr w:rsidR="004F0614">
      <w:headerReference w:type="default" r:id="rId7"/>
      <w:footerReference w:type="default" r:id="rId8"/>
      <w:pgSz w:w="11906" w:h="16838"/>
      <w:pgMar w:top="1000" w:right="900" w:bottom="10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9291FB" w14:textId="77777777" w:rsidR="00DA29C9" w:rsidRDefault="00DA29C9">
      <w:r>
        <w:separator/>
      </w:r>
    </w:p>
  </w:endnote>
  <w:endnote w:type="continuationSeparator" w:id="0">
    <w:p w14:paraId="22558783" w14:textId="77777777" w:rsidR="00DA29C9" w:rsidRDefault="00DA2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24933" w14:textId="77777777" w:rsidR="004F0614" w:rsidRDefault="00000000">
    <w:pPr>
      <w:jc w:val="center"/>
    </w:pPr>
    <w:r>
      <w:rPr>
        <w:color w:val="595959"/>
        <w:sz w:val="15"/>
        <w:szCs w:val="15"/>
      </w:rPr>
      <w:t xml:space="preserve">Vertraulich — nur für den internen Gebrauch bei Schaufler Tooling GmbH &amp; Co. KG   |   Seite </w:t>
    </w:r>
    <w:r>
      <w:rPr>
        <w:color w:val="595959"/>
        <w:sz w:val="15"/>
        <w:szCs w:val="15"/>
      </w:rPr>
      <w:fldChar w:fldCharType="begin"/>
    </w:r>
    <w:r>
      <w:rPr>
        <w:color w:val="595959"/>
        <w:sz w:val="15"/>
        <w:szCs w:val="15"/>
      </w:rPr>
      <w:instrText>PAGE</w:instrText>
    </w:r>
    <w:r>
      <w:rPr>
        <w:color w:val="595959"/>
        <w:sz w:val="15"/>
        <w:szCs w:val="15"/>
      </w:rPr>
      <w:fldChar w:fldCharType="separate"/>
    </w:r>
    <w:r w:rsidR="005B0018">
      <w:rPr>
        <w:noProof/>
        <w:color w:val="595959"/>
        <w:sz w:val="15"/>
        <w:szCs w:val="15"/>
      </w:rPr>
      <w:t>1</w:t>
    </w:r>
    <w:r>
      <w:rPr>
        <w:color w:val="595959"/>
        <w:sz w:val="15"/>
        <w:szCs w:val="15"/>
      </w:rPr>
      <w:fldChar w:fldCharType="end"/>
    </w:r>
    <w:r>
      <w:rPr>
        <w:color w:val="595959"/>
        <w:sz w:val="15"/>
        <w:szCs w:val="15"/>
      </w:rPr>
      <w:t xml:space="preserve"> von </w:t>
    </w:r>
    <w:r>
      <w:rPr>
        <w:color w:val="595959"/>
        <w:sz w:val="15"/>
        <w:szCs w:val="15"/>
      </w:rPr>
      <w:fldChar w:fldCharType="begin"/>
    </w:r>
    <w:r>
      <w:rPr>
        <w:color w:val="595959"/>
        <w:sz w:val="15"/>
        <w:szCs w:val="15"/>
      </w:rPr>
      <w:instrText>NUMPAGES</w:instrText>
    </w:r>
    <w:r>
      <w:rPr>
        <w:color w:val="595959"/>
        <w:sz w:val="15"/>
        <w:szCs w:val="15"/>
      </w:rPr>
      <w:fldChar w:fldCharType="separate"/>
    </w:r>
    <w:r w:rsidR="005B0018">
      <w:rPr>
        <w:noProof/>
        <w:color w:val="595959"/>
        <w:sz w:val="15"/>
        <w:szCs w:val="15"/>
      </w:rPr>
      <w:t>2</w:t>
    </w:r>
    <w:r>
      <w:rPr>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F8ADAE" w14:textId="77777777" w:rsidR="00DA29C9" w:rsidRDefault="00DA29C9">
      <w:r>
        <w:separator/>
      </w:r>
    </w:p>
  </w:footnote>
  <w:footnote w:type="continuationSeparator" w:id="0">
    <w:p w14:paraId="59D03B22" w14:textId="77777777" w:rsidR="00DA29C9" w:rsidRDefault="00DA2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20BA62" w14:textId="77777777" w:rsidR="004F0614" w:rsidRDefault="00000000">
    <w:pPr>
      <w:pBdr>
        <w:bottom w:val="single" w:sz="4" w:space="4" w:color="BFBFBF"/>
      </w:pBdr>
      <w:jc w:val="right"/>
    </w:pPr>
    <w:r>
      <w:rPr>
        <w:color w:val="595959"/>
        <w:sz w:val="15"/>
        <w:szCs w:val="15"/>
      </w:rPr>
      <w:t>Prozessia GbR — Umsetzungsplan Stücklistendatenerfassung (Schaufler)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C543447"/>
    <w:multiLevelType w:val="hybridMultilevel"/>
    <w:tmpl w:val="80523F54"/>
    <w:lvl w:ilvl="0" w:tplc="DCF2BD2C">
      <w:start w:val="1"/>
      <w:numFmt w:val="bullet"/>
      <w:lvlText w:val="●"/>
      <w:lvlJc w:val="left"/>
      <w:pPr>
        <w:ind w:left="720" w:hanging="360"/>
      </w:pPr>
    </w:lvl>
    <w:lvl w:ilvl="1" w:tplc="D166F296">
      <w:start w:val="1"/>
      <w:numFmt w:val="bullet"/>
      <w:lvlText w:val="○"/>
      <w:lvlJc w:val="left"/>
      <w:pPr>
        <w:ind w:left="1440" w:hanging="360"/>
      </w:pPr>
    </w:lvl>
    <w:lvl w:ilvl="2" w:tplc="14069E04">
      <w:start w:val="1"/>
      <w:numFmt w:val="bullet"/>
      <w:lvlText w:val="■"/>
      <w:lvlJc w:val="left"/>
      <w:pPr>
        <w:ind w:left="2160" w:hanging="360"/>
      </w:pPr>
    </w:lvl>
    <w:lvl w:ilvl="3" w:tplc="9B84AD44">
      <w:start w:val="1"/>
      <w:numFmt w:val="bullet"/>
      <w:lvlText w:val="●"/>
      <w:lvlJc w:val="left"/>
      <w:pPr>
        <w:ind w:left="2880" w:hanging="360"/>
      </w:pPr>
    </w:lvl>
    <w:lvl w:ilvl="4" w:tplc="81AC2634">
      <w:start w:val="1"/>
      <w:numFmt w:val="bullet"/>
      <w:lvlText w:val="○"/>
      <w:lvlJc w:val="left"/>
      <w:pPr>
        <w:ind w:left="3600" w:hanging="360"/>
      </w:pPr>
    </w:lvl>
    <w:lvl w:ilvl="5" w:tplc="270A30FC">
      <w:start w:val="1"/>
      <w:numFmt w:val="bullet"/>
      <w:lvlText w:val="■"/>
      <w:lvlJc w:val="left"/>
      <w:pPr>
        <w:ind w:left="4320" w:hanging="360"/>
      </w:pPr>
    </w:lvl>
    <w:lvl w:ilvl="6" w:tplc="A086B400">
      <w:start w:val="1"/>
      <w:numFmt w:val="bullet"/>
      <w:lvlText w:val="●"/>
      <w:lvlJc w:val="left"/>
      <w:pPr>
        <w:ind w:left="5040" w:hanging="360"/>
      </w:pPr>
    </w:lvl>
    <w:lvl w:ilvl="7" w:tplc="F620C0BC">
      <w:start w:val="1"/>
      <w:numFmt w:val="bullet"/>
      <w:lvlText w:val="●"/>
      <w:lvlJc w:val="left"/>
      <w:pPr>
        <w:ind w:left="5760" w:hanging="360"/>
      </w:pPr>
    </w:lvl>
    <w:lvl w:ilvl="8" w:tplc="86A4D1C2">
      <w:start w:val="1"/>
      <w:numFmt w:val="bullet"/>
      <w:lvlText w:val="●"/>
      <w:lvlJc w:val="left"/>
      <w:pPr>
        <w:ind w:left="6480" w:hanging="360"/>
      </w:pPr>
    </w:lvl>
  </w:abstractNum>
  <w:num w:numId="1" w16cid:durableId="26072466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614"/>
    <w:rsid w:val="004F0614"/>
    <w:rsid w:val="005B0018"/>
    <w:rsid w:val="00DA29C9"/>
    <w:rsid w:val="00EB4D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137DC0C"/>
  <w15:docId w15:val="{C653BB1B-C900-A146-8BEB-DA4613E38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5290</Words>
  <Characters>33330</Characters>
  <Application>Microsoft Office Word</Application>
  <DocSecurity>0</DocSecurity>
  <Lines>277</Lines>
  <Paragraphs>77</Paragraphs>
  <ScaleCrop>false</ScaleCrop>
  <Company/>
  <LinksUpToDate>false</LinksUpToDate>
  <CharactersWithSpaces>38543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Spuhler</cp:lastModifiedBy>
  <cp:revision>2</cp:revision>
  <dcterms:created xsi:type="dcterms:W3CDTF">2026-08-05T11:37:00Z</dcterms:created>
  <dcterms:modified xsi:type="dcterms:W3CDTF">2026-08-05T11:37:00Z</dcterms:modified>
</cp:coreProperties>
</file>