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80"/>
        <w:gridCol w:w="2420"/>
        <w:gridCol w:w="1899"/>
        <w:gridCol w:w="2800"/>
      </w:tblGrid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Capital Social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-ordenador……………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...1200€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-mobiliario de oficina………..3000€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-furgoneta……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...29.000€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 xml:space="preserve">- </w:t>
            </w: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préstamo bancario…...40.000€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Existencias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-mercaderia………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..30.000€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 clientes…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...13.300€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-banci c/c………..7.000€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-proveedores……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.€5.260€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-acreedores…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..440€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ACTIVO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 83.500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TOTAL P+N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gutter="0" w:header="0" w:top="720" w:footer="0" w:bottom="14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</Pages>
  <Words>56</Words>
  <Characters>475</Characters>
  <CharactersWithSpaces>502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2024-11-05T20:19:46Z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